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9D30" w14:textId="66B9EDA6" w:rsidR="00FE3FF3" w:rsidRDefault="007A226C" w:rsidP="00FE3FF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3. CRADA Monitoring Part 2 – ORTA Checklist</w:t>
      </w:r>
    </w:p>
    <w:p w14:paraId="6A400F6A" w14:textId="77777777" w:rsidR="007A226C" w:rsidRDefault="007A226C" w:rsidP="007A226C">
      <w:pPr>
        <w:rPr>
          <w:b/>
          <w:bCs/>
          <w:sz w:val="23"/>
          <w:szCs w:val="23"/>
        </w:rPr>
      </w:pPr>
    </w:p>
    <w:p w14:paraId="52200F8D" w14:textId="4F5E2862" w:rsidR="007A226C" w:rsidRDefault="007A226C" w:rsidP="007A226C">
      <w:pPr>
        <w:rPr>
          <w:b/>
          <w:bCs/>
          <w:sz w:val="23"/>
          <w:szCs w:val="23"/>
        </w:rPr>
      </w:pPr>
      <w:r>
        <w:rPr>
          <w:sz w:val="23"/>
          <w:szCs w:val="23"/>
        </w:rPr>
        <w:t>The checklist provided here can be used in assisting the ORTA in monitoring a CRADA effort.</w:t>
      </w:r>
    </w:p>
    <w:p w14:paraId="05DEDF10" w14:textId="77777777" w:rsidR="007A226C" w:rsidRDefault="007A226C" w:rsidP="00FE3FF3">
      <w:pPr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E3FF3" w:rsidRPr="00972CE8" w14:paraId="17CCCC5A" w14:textId="77777777" w:rsidTr="00E74842">
        <w:tc>
          <w:tcPr>
            <w:tcW w:w="5508" w:type="dxa"/>
          </w:tcPr>
          <w:p w14:paraId="3786159C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bookmarkStart w:id="0" w:name="_Hlk495658443"/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TASK</w:t>
            </w:r>
          </w:p>
        </w:tc>
        <w:tc>
          <w:tcPr>
            <w:tcW w:w="4140" w:type="dxa"/>
          </w:tcPr>
          <w:p w14:paraId="2DF7D5AB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TIME REFERENCE</w:t>
            </w:r>
          </w:p>
        </w:tc>
      </w:tr>
      <w:bookmarkEnd w:id="0"/>
      <w:tr w:rsidR="00FE3FF3" w:rsidRPr="00972CE8" w14:paraId="55DE9ADD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26C85A42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DON</w:t>
            </w: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 xml:space="preserve"> T2 PROGRAM OFFICE ADMINISTRATIVE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F3B6D57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802560A" w14:textId="77777777" w:rsidTr="00E74842">
        <w:tc>
          <w:tcPr>
            <w:tcW w:w="5508" w:type="dxa"/>
          </w:tcPr>
          <w:p w14:paraId="57E7FEA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bookmarkStart w:id="1" w:name="_GoBack"/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end CRADA electroni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cally to DON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T2 Program Office</w:t>
            </w:r>
          </w:p>
        </w:tc>
        <w:tc>
          <w:tcPr>
            <w:tcW w:w="4140" w:type="dxa"/>
          </w:tcPr>
          <w:p w14:paraId="7A213BD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ten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10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of signature</w:t>
            </w:r>
          </w:p>
        </w:tc>
      </w:tr>
      <w:bookmarkEnd w:id="1"/>
      <w:tr w:rsidR="00FE3FF3" w:rsidRPr="00972CE8" w14:paraId="3C793AE3" w14:textId="77777777" w:rsidTr="00E74842">
        <w:tc>
          <w:tcPr>
            <w:tcW w:w="5508" w:type="dxa"/>
          </w:tcPr>
          <w:p w14:paraId="3CABA5D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The DON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T2 Program Office reports agreements through the NDTTIS database</w:t>
            </w:r>
          </w:p>
        </w:tc>
        <w:tc>
          <w:tcPr>
            <w:tcW w:w="4140" w:type="dxa"/>
          </w:tcPr>
          <w:p w14:paraId="2006B5CD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thirty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30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of signature</w:t>
            </w:r>
          </w:p>
        </w:tc>
      </w:tr>
      <w:tr w:rsidR="00FE3FF3" w:rsidRPr="00972CE8" w14:paraId="05643A11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11D4DFE6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FUNDING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E9E2E5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38078B4" w14:textId="77777777" w:rsidTr="00E74842">
        <w:tc>
          <w:tcPr>
            <w:tcW w:w="5508" w:type="dxa"/>
          </w:tcPr>
          <w:p w14:paraId="711440B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Monitor and follow payment schedule, if applicable</w:t>
            </w:r>
          </w:p>
        </w:tc>
        <w:tc>
          <w:tcPr>
            <w:tcW w:w="4140" w:type="dxa"/>
          </w:tcPr>
          <w:p w14:paraId="3103A29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562DF7E" w14:textId="77777777" w:rsidTr="00E74842">
        <w:tc>
          <w:tcPr>
            <w:tcW w:w="5508" w:type="dxa"/>
          </w:tcPr>
          <w:p w14:paraId="22A37E0A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Send notice of default to NNC</w:t>
            </w:r>
          </w:p>
        </w:tc>
        <w:tc>
          <w:tcPr>
            <w:tcW w:w="4140" w:type="dxa"/>
          </w:tcPr>
          <w:p w14:paraId="752707C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Fifteen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15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after default</w:t>
            </w:r>
          </w:p>
        </w:tc>
      </w:tr>
      <w:tr w:rsidR="00FE3FF3" w:rsidRPr="00972CE8" w14:paraId="34948A9C" w14:textId="77777777" w:rsidTr="00E74842">
        <w:tc>
          <w:tcPr>
            <w:tcW w:w="5508" w:type="dxa"/>
          </w:tcPr>
          <w:p w14:paraId="6D24E293" w14:textId="77777777" w:rsidR="00FE3FF3" w:rsidRPr="00972CE8" w:rsidRDefault="00FE3FF3" w:rsidP="00E74842">
            <w:pPr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outlineLvl w:val="1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Termination of Agreement</w:t>
            </w:r>
          </w:p>
        </w:tc>
        <w:tc>
          <w:tcPr>
            <w:tcW w:w="4140" w:type="dxa"/>
          </w:tcPr>
          <w:p w14:paraId="3B1520B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9BC5305" w14:textId="77777777" w:rsidTr="00E74842">
        <w:tc>
          <w:tcPr>
            <w:tcW w:w="5508" w:type="dxa"/>
          </w:tcPr>
          <w:p w14:paraId="419647C2" w14:textId="77777777" w:rsidR="00FE3FF3" w:rsidRPr="00972CE8" w:rsidRDefault="00FE3FF3" w:rsidP="00E74842">
            <w:pPr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outlineLvl w:val="1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Cancel option for exclusive license</w:t>
            </w:r>
          </w:p>
        </w:tc>
        <w:tc>
          <w:tcPr>
            <w:tcW w:w="4140" w:type="dxa"/>
          </w:tcPr>
          <w:p w14:paraId="3D4BA31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EE36933" w14:textId="77777777" w:rsidTr="00E74842">
        <w:tc>
          <w:tcPr>
            <w:tcW w:w="5508" w:type="dxa"/>
          </w:tcPr>
          <w:p w14:paraId="68C999FE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Terminate any exclusive license</w:t>
            </w:r>
          </w:p>
        </w:tc>
        <w:tc>
          <w:tcPr>
            <w:tcW w:w="4140" w:type="dxa"/>
          </w:tcPr>
          <w:p w14:paraId="1925817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5AFD4D0" w14:textId="77777777" w:rsidTr="00E74842">
        <w:tc>
          <w:tcPr>
            <w:tcW w:w="5508" w:type="dxa"/>
          </w:tcPr>
          <w:p w14:paraId="0547964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Return excess funds</w:t>
            </w:r>
          </w:p>
        </w:tc>
        <w:tc>
          <w:tcPr>
            <w:tcW w:w="4140" w:type="dxa"/>
          </w:tcPr>
          <w:p w14:paraId="265C1574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After completion, expiration, or termination of CRADA</w:t>
            </w:r>
          </w:p>
        </w:tc>
      </w:tr>
      <w:tr w:rsidR="00FE3FF3" w:rsidRPr="00972CE8" w14:paraId="46A37E67" w14:textId="77777777" w:rsidTr="00E74842">
        <w:tc>
          <w:tcPr>
            <w:tcW w:w="5508" w:type="dxa"/>
          </w:tcPr>
          <w:p w14:paraId="358408F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Issue financial report to Collaborator</w:t>
            </w:r>
          </w:p>
        </w:tc>
        <w:tc>
          <w:tcPr>
            <w:tcW w:w="4140" w:type="dxa"/>
          </w:tcPr>
          <w:p w14:paraId="255846D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four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(4)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months of completion, expiration, or termination of Agreement</w:t>
            </w:r>
          </w:p>
        </w:tc>
      </w:tr>
      <w:tr w:rsidR="00FE3FF3" w:rsidRPr="00972CE8" w14:paraId="381CBBEC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09350166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REPORTS AMONG COLLABORATORS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183609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29A5336B" w14:textId="77777777" w:rsidTr="00E74842">
        <w:tc>
          <w:tcPr>
            <w:tcW w:w="5508" w:type="dxa"/>
          </w:tcPr>
          <w:p w14:paraId="4162226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Submission of interim reports to Collaborator</w:t>
            </w:r>
          </w:p>
        </w:tc>
        <w:tc>
          <w:tcPr>
            <w:tcW w:w="4140" w:type="dxa"/>
          </w:tcPr>
          <w:p w14:paraId="6CCDAE50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As required by Article 6.1</w:t>
            </w:r>
          </w:p>
        </w:tc>
      </w:tr>
      <w:tr w:rsidR="00FE3FF3" w:rsidRPr="00972CE8" w14:paraId="1C5F663A" w14:textId="77777777" w:rsidTr="00E74842">
        <w:tc>
          <w:tcPr>
            <w:tcW w:w="5508" w:type="dxa"/>
          </w:tcPr>
          <w:p w14:paraId="41B2493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Submit a final report to Collaborators that contains results obtained and a list of all Subject Inventions</w:t>
            </w:r>
          </w:p>
        </w:tc>
        <w:tc>
          <w:tcPr>
            <w:tcW w:w="4140" w:type="dxa"/>
          </w:tcPr>
          <w:p w14:paraId="6FAEB4EA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four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(4)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months of completion, expiration, or termination of Agreement</w:t>
            </w:r>
          </w:p>
        </w:tc>
      </w:tr>
      <w:tr w:rsidR="00FE3FF3" w:rsidRPr="00972CE8" w14:paraId="75C676FD" w14:textId="77777777" w:rsidTr="00E74842">
        <w:trPr>
          <w:trHeight w:val="557"/>
        </w:trPr>
        <w:tc>
          <w:tcPr>
            <w:tcW w:w="5508" w:type="dxa"/>
            <w:shd w:val="clear" w:color="auto" w:fill="D9D9D9" w:themeFill="background1" w:themeFillShade="D9"/>
          </w:tcPr>
          <w:p w14:paraId="12E1843B" w14:textId="77777777" w:rsidR="00FE3FF3" w:rsidRPr="00972CE8" w:rsidRDefault="00FE3FF3" w:rsidP="00E74842">
            <w:pPr>
              <w:widowContro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PUBLICATIONS or PUBLIC DISCLOSURE of SUBJECT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09A980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BE8C84B" w14:textId="77777777" w:rsidTr="00E74842">
        <w:tc>
          <w:tcPr>
            <w:tcW w:w="5508" w:type="dxa"/>
          </w:tcPr>
          <w:p w14:paraId="59CFC84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Confer and consult prior to publication or public disclosure of Subject Data</w:t>
            </w:r>
          </w:p>
        </w:tc>
        <w:tc>
          <w:tcPr>
            <w:tcW w:w="4140" w:type="dxa"/>
          </w:tcPr>
          <w:p w14:paraId="1342920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1D3C0E8" w14:textId="77777777" w:rsidTr="00E74842">
        <w:tc>
          <w:tcPr>
            <w:tcW w:w="5508" w:type="dxa"/>
          </w:tcPr>
          <w:p w14:paraId="2C58D67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Review any proposed abstract, publication, presentation, or other document</w:t>
            </w:r>
          </w:p>
        </w:tc>
        <w:tc>
          <w:tcPr>
            <w:tcW w:w="4140" w:type="dxa"/>
          </w:tcPr>
          <w:p w14:paraId="6728586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Not to exceed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thirty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30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days, unless mutually agreed, prior to publication or disclosure (note “disclosure” includes peer review prior to publication)</w:t>
            </w:r>
          </w:p>
        </w:tc>
      </w:tr>
      <w:tr w:rsidR="00FE3FF3" w:rsidRPr="00972CE8" w14:paraId="520F668D" w14:textId="77777777" w:rsidTr="00E74842">
        <w:tc>
          <w:tcPr>
            <w:tcW w:w="5508" w:type="dxa"/>
          </w:tcPr>
          <w:p w14:paraId="039C503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objection to a proposed disclosure</w:t>
            </w:r>
          </w:p>
        </w:tc>
        <w:tc>
          <w:tcPr>
            <w:tcW w:w="4140" w:type="dxa"/>
          </w:tcPr>
          <w:p w14:paraId="1EBCF4F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thirty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30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of the date of notice to disclose</w:t>
            </w:r>
          </w:p>
        </w:tc>
      </w:tr>
      <w:tr w:rsidR="00FE3FF3" w:rsidRPr="00972CE8" w14:paraId="48033F1B" w14:textId="77777777" w:rsidTr="00E74842">
        <w:tc>
          <w:tcPr>
            <w:tcW w:w="5508" w:type="dxa"/>
          </w:tcPr>
          <w:p w14:paraId="33DE047E" w14:textId="77777777" w:rsidR="00FE3FF3" w:rsidRPr="00972CE8" w:rsidRDefault="00FE3FF3" w:rsidP="00E74842">
            <w:pPr>
              <w:widowControl w:val="0"/>
              <w:rPr>
                <w:rFonts w:cs="Times New Roman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objection that patent rights may be compromised by a proposed disclosure</w:t>
            </w:r>
          </w:p>
        </w:tc>
        <w:tc>
          <w:tcPr>
            <w:tcW w:w="4140" w:type="dxa"/>
          </w:tcPr>
          <w:p w14:paraId="675F245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Patent Application must be filed by responsible Collaborator before public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disclosure or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as mutually agreed</w:t>
            </w:r>
          </w:p>
        </w:tc>
      </w:tr>
      <w:tr w:rsidR="00FE3FF3" w:rsidRPr="00972CE8" w14:paraId="69142786" w14:textId="77777777" w:rsidTr="00E74842">
        <w:tc>
          <w:tcPr>
            <w:tcW w:w="5508" w:type="dxa"/>
          </w:tcPr>
          <w:p w14:paraId="3F98CC8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objection that public disclosure may release Proprietary Information, or Information restricted by United States security laws or regulations</w:t>
            </w:r>
          </w:p>
        </w:tc>
        <w:tc>
          <w:tcPr>
            <w:tcW w:w="4140" w:type="dxa"/>
          </w:tcPr>
          <w:p w14:paraId="63EBD340" w14:textId="77777777" w:rsidR="00FE3FF3" w:rsidRPr="00972CE8" w:rsidRDefault="00FE3FF3" w:rsidP="00E74842">
            <w:pPr>
              <w:widowControl w:val="0"/>
              <w:rPr>
                <w:rFonts w:cs="Times New Roman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Disclosure is to be postponed until Information no longer meets definition for Proprietary Information or is no longer covered by United States security laws or regulations</w:t>
            </w:r>
          </w:p>
        </w:tc>
      </w:tr>
    </w:tbl>
    <w:p w14:paraId="7DCABECD" w14:textId="2CC135D2" w:rsidR="00FE3FF3" w:rsidRDefault="00FE3FF3" w:rsidP="00FE3FF3">
      <w:pPr>
        <w:jc w:val="center"/>
      </w:pPr>
    </w:p>
    <w:p w14:paraId="0B3A887E" w14:textId="77777777" w:rsidR="00FE3FF3" w:rsidRDefault="00FE3FF3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E3FF3" w:rsidRPr="00972CE8" w14:paraId="108D905E" w14:textId="77777777" w:rsidTr="00E74842">
        <w:tc>
          <w:tcPr>
            <w:tcW w:w="5508" w:type="dxa"/>
          </w:tcPr>
          <w:p w14:paraId="4B69A398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lastRenderedPageBreak/>
              <w:t>TASK</w:t>
            </w:r>
          </w:p>
        </w:tc>
        <w:tc>
          <w:tcPr>
            <w:tcW w:w="4140" w:type="dxa"/>
          </w:tcPr>
          <w:p w14:paraId="2EB5D3DD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TIME REFERENCE</w:t>
            </w:r>
          </w:p>
        </w:tc>
      </w:tr>
      <w:tr w:rsidR="00FE3FF3" w:rsidRPr="00972CE8" w14:paraId="6AE89F47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21E819C7" w14:textId="77777777" w:rsidR="00FE3FF3" w:rsidRPr="00972CE8" w:rsidRDefault="00FE3FF3" w:rsidP="00E74842">
            <w:pPr>
              <w:widowContro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MARKING OF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031A089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F9F73C2" w14:textId="77777777" w:rsidTr="00E74842">
        <w:tc>
          <w:tcPr>
            <w:tcW w:w="5508" w:type="dxa"/>
          </w:tcPr>
          <w:p w14:paraId="79335C2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Marking Data that are Subject to 35 U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.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.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ode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§ 205</w:t>
            </w:r>
          </w:p>
        </w:tc>
        <w:tc>
          <w:tcPr>
            <w:tcW w:w="4140" w:type="dxa"/>
          </w:tcPr>
          <w:p w14:paraId="4262493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2089AC97" w14:textId="77777777" w:rsidTr="00E74842">
        <w:tc>
          <w:tcPr>
            <w:tcW w:w="5508" w:type="dxa"/>
          </w:tcPr>
          <w:p w14:paraId="3328BCD5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340EBC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Marking Data that are Classified Information, C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ontrolled Unclassified Information (CUI)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, or otherwise restricted</w:t>
            </w:r>
          </w:p>
        </w:tc>
        <w:tc>
          <w:tcPr>
            <w:tcW w:w="4140" w:type="dxa"/>
          </w:tcPr>
          <w:p w14:paraId="3CE10BA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7A82A41C" w14:textId="77777777" w:rsidTr="00E74842">
        <w:tc>
          <w:tcPr>
            <w:tcW w:w="5508" w:type="dxa"/>
          </w:tcPr>
          <w:p w14:paraId="5CAECDEF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Data provided with less than Unlimited Rights</w:t>
            </w:r>
          </w:p>
        </w:tc>
        <w:tc>
          <w:tcPr>
            <w:tcW w:w="4140" w:type="dxa"/>
          </w:tcPr>
          <w:p w14:paraId="391F22B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2E2EE2B1" w14:textId="77777777" w:rsidTr="00E74842">
        <w:tc>
          <w:tcPr>
            <w:tcW w:w="5508" w:type="dxa"/>
          </w:tcPr>
          <w:p w14:paraId="00DEAEC7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</w:t>
            </w: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</w:rPr>
              <w:t xml:space="preserve">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F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or Official Use Only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(FOUO)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Data and Proprietary Information</w:t>
            </w:r>
          </w:p>
        </w:tc>
        <w:tc>
          <w:tcPr>
            <w:tcW w:w="4140" w:type="dxa"/>
          </w:tcPr>
          <w:p w14:paraId="79E3AB48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3B0F7B83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57BB7724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REEDOM OF INFORMATION ACT</w:t>
            </w: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 xml:space="preserve"> REQUESTS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DD68DE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C1C0414" w14:textId="77777777" w:rsidTr="00E74842">
        <w:tc>
          <w:tcPr>
            <w:tcW w:w="5508" w:type="dxa"/>
          </w:tcPr>
          <w:p w14:paraId="5C02363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Collaborator of any F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reedom of Information Act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requests for Data under the Agreement.</w:t>
            </w:r>
          </w:p>
        </w:tc>
        <w:tc>
          <w:tcPr>
            <w:tcW w:w="4140" w:type="dxa"/>
          </w:tcPr>
          <w:p w14:paraId="5BE5DB54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Promptly</w:t>
            </w:r>
          </w:p>
        </w:tc>
      </w:tr>
      <w:tr w:rsidR="00FE3FF3" w:rsidRPr="00972CE8" w14:paraId="4E010D27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79D52F94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REQUEST FOR SUBJECT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28F497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25DDAA29" w14:textId="77777777" w:rsidTr="00E74842">
        <w:tc>
          <w:tcPr>
            <w:tcW w:w="5508" w:type="dxa"/>
          </w:tcPr>
          <w:p w14:paraId="1962653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Deliver Subject Data to requesting Collaborator</w:t>
            </w:r>
          </w:p>
        </w:tc>
        <w:tc>
          <w:tcPr>
            <w:tcW w:w="4140" w:type="dxa"/>
          </w:tcPr>
          <w:p w14:paraId="6ED2BE5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 to exceed thirty (30) days</w:t>
            </w:r>
          </w:p>
        </w:tc>
      </w:tr>
      <w:tr w:rsidR="00FE3FF3" w:rsidRPr="00972CE8" w14:paraId="7BD10E3B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43D5BF89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REQUESTS FOR NON-SUBJECT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A21C009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7768E4F" w14:textId="77777777" w:rsidTr="00E74842">
        <w:tc>
          <w:tcPr>
            <w:tcW w:w="5508" w:type="dxa"/>
          </w:tcPr>
          <w:p w14:paraId="1E1BDC1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Deliver marked Non-Subject Data and defined limited rights</w:t>
            </w:r>
          </w:p>
        </w:tc>
        <w:tc>
          <w:tcPr>
            <w:tcW w:w="4140" w:type="dxa"/>
          </w:tcPr>
          <w:p w14:paraId="2DD7B63A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After completion of a separate non-disclosure agreement</w:t>
            </w:r>
          </w:p>
        </w:tc>
      </w:tr>
      <w:tr w:rsidR="00FE3FF3" w:rsidRPr="00972CE8" w14:paraId="00AC582C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2A3E523B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SUBJECT INVENTIONS (IP</w:t>
            </w: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 xml:space="preserve"> </w:t>
            </w: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Attorney)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3E559A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EED6BC8" w14:textId="77777777" w:rsidTr="00E74842">
        <w:tc>
          <w:tcPr>
            <w:tcW w:w="5508" w:type="dxa"/>
          </w:tcPr>
          <w:p w14:paraId="6EBF4BE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Provide Collaborator with a copy of each Invention Disclosure</w:t>
            </w:r>
          </w:p>
        </w:tc>
        <w:tc>
          <w:tcPr>
            <w:tcW w:w="4140" w:type="dxa"/>
          </w:tcPr>
          <w:p w14:paraId="3BD0A8E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sixty (60) days of receiving the Invention Disclosure from the inventor</w:t>
            </w:r>
          </w:p>
        </w:tc>
      </w:tr>
      <w:tr w:rsidR="00FE3FF3" w:rsidRPr="00972CE8" w14:paraId="1E84291B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054CAFC7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PATENT APPLICATIONS (IP Attorney)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A0009C8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9D788BA" w14:textId="77777777" w:rsidTr="00E74842">
        <w:tc>
          <w:tcPr>
            <w:tcW w:w="5508" w:type="dxa"/>
          </w:tcPr>
          <w:p w14:paraId="4F29B66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Confer and consult on who should file a Patent Application on any Subject Invention</w:t>
            </w:r>
          </w:p>
        </w:tc>
        <w:tc>
          <w:tcPr>
            <w:tcW w:w="4140" w:type="dxa"/>
          </w:tcPr>
          <w:p w14:paraId="0E47F6E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5EDDA7AF" w14:textId="77777777" w:rsidTr="00E74842">
        <w:tc>
          <w:tcPr>
            <w:tcW w:w="5508" w:type="dxa"/>
          </w:tcPr>
          <w:p w14:paraId="5CA54A18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Confer and consult on who should file a Patent Application on any Invention Jointly Made</w:t>
            </w:r>
          </w:p>
        </w:tc>
        <w:tc>
          <w:tcPr>
            <w:tcW w:w="4140" w:type="dxa"/>
          </w:tcPr>
          <w:p w14:paraId="4C1864B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34C9825" w14:textId="77777777" w:rsidTr="00E74842">
        <w:tc>
          <w:tcPr>
            <w:tcW w:w="5508" w:type="dxa"/>
          </w:tcPr>
          <w:p w14:paraId="7876DC88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If responsible, file a Patent Application of any Subject Invention</w:t>
            </w:r>
          </w:p>
        </w:tc>
        <w:tc>
          <w:tcPr>
            <w:tcW w:w="4140" w:type="dxa"/>
          </w:tcPr>
          <w:p w14:paraId="02F7463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sixty (60) days prior to any bar date and prior to publication, or one year from the date the Invention Disclosure was received</w:t>
            </w:r>
          </w:p>
        </w:tc>
      </w:tr>
      <w:tr w:rsidR="00FE3FF3" w:rsidRPr="00972CE8" w14:paraId="21339DD3" w14:textId="77777777" w:rsidTr="00E74842">
        <w:tc>
          <w:tcPr>
            <w:tcW w:w="5508" w:type="dxa"/>
          </w:tcPr>
          <w:p w14:paraId="0C75B53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other Collaborator of intent to assume filing because Collaborator failed to file</w:t>
            </w:r>
          </w:p>
        </w:tc>
        <w:tc>
          <w:tcPr>
            <w:tcW w:w="4140" w:type="dxa"/>
          </w:tcPr>
          <w:p w14:paraId="1AB4B29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Ten (10) days written notification</w:t>
            </w:r>
          </w:p>
        </w:tc>
      </w:tr>
      <w:tr w:rsidR="00FE3FF3" w:rsidRPr="00972CE8" w14:paraId="1EFF1619" w14:textId="77777777" w:rsidTr="00E74842">
        <w:tc>
          <w:tcPr>
            <w:tcW w:w="5508" w:type="dxa"/>
          </w:tcPr>
          <w:p w14:paraId="543A7B1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other Collaborator of all filing deadlines for prosecution of a Patent Application of a Subject Invention</w:t>
            </w:r>
          </w:p>
        </w:tc>
        <w:tc>
          <w:tcPr>
            <w:tcW w:w="4140" w:type="dxa"/>
          </w:tcPr>
          <w:p w14:paraId="62923B7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64E279B" w14:textId="77777777" w:rsidTr="00E74842">
        <w:tc>
          <w:tcPr>
            <w:tcW w:w="5508" w:type="dxa"/>
          </w:tcPr>
          <w:p w14:paraId="3AFF91D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other Collaborator of all filing deadlines for maintenance of a Patent on a Subject Invention</w:t>
            </w:r>
          </w:p>
        </w:tc>
        <w:tc>
          <w:tcPr>
            <w:tcW w:w="4140" w:type="dxa"/>
          </w:tcPr>
          <w:p w14:paraId="798A363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254A1BD" w14:textId="77777777" w:rsidTr="00E74842">
        <w:tc>
          <w:tcPr>
            <w:tcW w:w="5508" w:type="dxa"/>
          </w:tcPr>
          <w:p w14:paraId="3F52407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intent to respond to a filing deadline</w:t>
            </w:r>
          </w:p>
        </w:tc>
        <w:tc>
          <w:tcPr>
            <w:tcW w:w="4140" w:type="dxa"/>
          </w:tcPr>
          <w:p w14:paraId="5181242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sixty (60) days prior to deadline</w:t>
            </w:r>
          </w:p>
        </w:tc>
      </w:tr>
      <w:tr w:rsidR="00FE3FF3" w:rsidRPr="00972CE8" w14:paraId="0BE50781" w14:textId="77777777" w:rsidTr="00E74842">
        <w:tc>
          <w:tcPr>
            <w:tcW w:w="5508" w:type="dxa"/>
          </w:tcPr>
          <w:p w14:paraId="63CDCAF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Provide Collaborator with copies of prosecution papers of a Patent Application of a Subject Invention</w:t>
            </w:r>
          </w:p>
        </w:tc>
        <w:tc>
          <w:tcPr>
            <w:tcW w:w="4140" w:type="dxa"/>
          </w:tcPr>
          <w:p w14:paraId="68F14B5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thirty (30) days of receipt of such communication</w:t>
            </w:r>
          </w:p>
        </w:tc>
      </w:tr>
      <w:tr w:rsidR="00FE3FF3" w:rsidRPr="00972CE8" w14:paraId="6ACAB3D5" w14:textId="77777777" w:rsidTr="00E74842">
        <w:tc>
          <w:tcPr>
            <w:tcW w:w="5508" w:type="dxa"/>
          </w:tcPr>
          <w:p w14:paraId="6C5D95B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inventors of intention not to file a Patent Application</w:t>
            </w:r>
          </w:p>
        </w:tc>
        <w:tc>
          <w:tcPr>
            <w:tcW w:w="4140" w:type="dxa"/>
          </w:tcPr>
          <w:p w14:paraId="5D463E2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7B9FDC7" w14:textId="77777777" w:rsidTr="00E74842">
        <w:tc>
          <w:tcPr>
            <w:tcW w:w="5508" w:type="dxa"/>
          </w:tcPr>
          <w:p w14:paraId="7D61DA8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Identify Preexisting Non-Subject Inventions Pertinent to the Cooperative Work</w:t>
            </w:r>
          </w:p>
        </w:tc>
        <w:tc>
          <w:tcPr>
            <w:tcW w:w="4140" w:type="dxa"/>
          </w:tcPr>
          <w:p w14:paraId="2E09597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During CRADA negotiation</w:t>
            </w:r>
          </w:p>
        </w:tc>
      </w:tr>
    </w:tbl>
    <w:p w14:paraId="5536A768" w14:textId="5DC90EFE" w:rsidR="00FE3FF3" w:rsidRDefault="00FE3FF3" w:rsidP="00FE3FF3"/>
    <w:p w14:paraId="05511446" w14:textId="77777777" w:rsidR="00FE3FF3" w:rsidRDefault="00FE3FF3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E3FF3" w:rsidRPr="00972CE8" w14:paraId="1C0758A3" w14:textId="77777777" w:rsidTr="00E74842">
        <w:tc>
          <w:tcPr>
            <w:tcW w:w="5508" w:type="dxa"/>
          </w:tcPr>
          <w:p w14:paraId="247D41B9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lastRenderedPageBreak/>
              <w:t>TASK</w:t>
            </w:r>
          </w:p>
        </w:tc>
        <w:tc>
          <w:tcPr>
            <w:tcW w:w="4140" w:type="dxa"/>
          </w:tcPr>
          <w:p w14:paraId="744F29E6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TIME REFERENCE</w:t>
            </w:r>
          </w:p>
        </w:tc>
      </w:tr>
      <w:tr w:rsidR="00FE3FF3" w:rsidRPr="00972CE8" w14:paraId="794A603C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60E03742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EXCLUSIVE LICENSE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4B4DB3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B3D6EB2" w14:textId="77777777" w:rsidTr="00E74842">
        <w:tc>
          <w:tcPr>
            <w:tcW w:w="5508" w:type="dxa"/>
          </w:tcPr>
          <w:p w14:paraId="355AD1C9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Navy Collaborator gives NN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the option to acquiring an exclusive license in a Subject Invention Made by Navy Collaborator employee</w:t>
            </w:r>
          </w:p>
        </w:tc>
        <w:tc>
          <w:tcPr>
            <w:tcW w:w="4140" w:type="dxa"/>
          </w:tcPr>
          <w:p w14:paraId="782EECC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NNC must notify Navy Collaborator 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six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6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months of filing the Patent Application in order to exercise the option</w:t>
            </w:r>
          </w:p>
        </w:tc>
      </w:tr>
      <w:tr w:rsidR="00FE3FF3" w:rsidRPr="00972CE8" w14:paraId="24F3B50A" w14:textId="77777777" w:rsidTr="00E74842">
        <w:tc>
          <w:tcPr>
            <w:tcW w:w="5508" w:type="dxa"/>
          </w:tcPr>
          <w:p w14:paraId="3ECC80B3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140" w:type="dxa"/>
          </w:tcPr>
          <w:p w14:paraId="46722B4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NNC must execute an exclusive/non-exclusive commercial license to the Subject Invention 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six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6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months of election to exercise the option</w:t>
            </w:r>
          </w:p>
        </w:tc>
      </w:tr>
      <w:tr w:rsidR="00FE3FF3" w:rsidRPr="00972CE8" w14:paraId="63269730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3474FD7A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NNC BECOMES A FO</w:t>
            </w: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CI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72CF7A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1DD2E3C" w14:textId="77777777" w:rsidTr="00E74842">
        <w:trPr>
          <w:trHeight w:val="350"/>
        </w:trPr>
        <w:tc>
          <w:tcPr>
            <w:tcW w:w="5508" w:type="dxa"/>
          </w:tcPr>
          <w:p w14:paraId="5A83097E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Navy may terminate any exclusive license or cancel any option for an exclusive license to a Subject Invention under this Agreement</w:t>
            </w:r>
          </w:p>
        </w:tc>
        <w:tc>
          <w:tcPr>
            <w:tcW w:w="4140" w:type="dxa"/>
          </w:tcPr>
          <w:p w14:paraId="701006A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NNC becomes a FOCI that does not qualify under Executive Order 12591, Section 4(a)</w:t>
            </w:r>
          </w:p>
        </w:tc>
      </w:tr>
      <w:tr w:rsidR="00FE3FF3" w:rsidRPr="00972CE8" w14:paraId="2EEE88A7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0D43725E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 w:themeColor="text1"/>
                <w:szCs w:val="24"/>
              </w:rPr>
              <w:t>FORCE MAJEURE EVENT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F8726F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59310DA" w14:textId="77777777" w:rsidTr="00E74842">
        <w:tc>
          <w:tcPr>
            <w:tcW w:w="5508" w:type="dxa"/>
          </w:tcPr>
          <w:p w14:paraId="0FFD4E0E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Notify the other Collaborator of inability to perform under a </w:t>
            </w:r>
            <w:r w:rsidRPr="00972CE8">
              <w:rPr>
                <w:rFonts w:eastAsia="Times New Roman" w:cs="Times New Roman"/>
                <w:i/>
                <w:iCs/>
                <w:snapToGrid w:val="0"/>
                <w:color w:val="000000" w:themeColor="text1"/>
                <w:szCs w:val="24"/>
              </w:rPr>
              <w:t xml:space="preserve">force majeure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event</w:t>
            </w:r>
          </w:p>
        </w:tc>
        <w:tc>
          <w:tcPr>
            <w:tcW w:w="4140" w:type="dxa"/>
          </w:tcPr>
          <w:p w14:paraId="03A82B5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Prompt notification; work may be suspended</w:t>
            </w:r>
          </w:p>
        </w:tc>
      </w:tr>
      <w:tr w:rsidR="00FE3FF3" w:rsidRPr="00972CE8" w14:paraId="6402E46E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55FA6525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THIRD PARTIES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207102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301F385" w14:textId="77777777" w:rsidTr="00E74842">
        <w:trPr>
          <w:trHeight w:val="593"/>
        </w:trPr>
        <w:tc>
          <w:tcPr>
            <w:tcW w:w="5508" w:type="dxa"/>
          </w:tcPr>
          <w:p w14:paraId="5E02485F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Request written permission of other Collaborator to use third parties to perform any part of Cooperative Work</w:t>
            </w:r>
          </w:p>
        </w:tc>
        <w:tc>
          <w:tcPr>
            <w:tcW w:w="4140" w:type="dxa"/>
          </w:tcPr>
          <w:p w14:paraId="189F516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8421C0D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6CE803C4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UNILATERAL TERMINATION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BE556D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A6443AA" w14:textId="77777777" w:rsidTr="00E74842">
        <w:tc>
          <w:tcPr>
            <w:tcW w:w="5508" w:type="dxa"/>
          </w:tcPr>
          <w:p w14:paraId="2B3AE84E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Either Collaborator may unilaterally terminate the Agreement</w:t>
            </w:r>
          </w:p>
        </w:tc>
        <w:tc>
          <w:tcPr>
            <w:tcW w:w="4140" w:type="dxa"/>
          </w:tcPr>
          <w:p w14:paraId="0DEEBA0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 less than thirty (30) days written notice prior to desired termination date</w:t>
            </w:r>
          </w:p>
        </w:tc>
      </w:tr>
    </w:tbl>
    <w:p w14:paraId="20364A31" w14:textId="77777777" w:rsidR="00FE3FF3" w:rsidRDefault="00FE3FF3" w:rsidP="00FE3FF3"/>
    <w:sectPr w:rsidR="00FE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3"/>
    <w:rsid w:val="0047501D"/>
    <w:rsid w:val="006079C7"/>
    <w:rsid w:val="007A226C"/>
    <w:rsid w:val="00B642FC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AF77"/>
  <w15:chartTrackingRefBased/>
  <w15:docId w15:val="{9FB10B6C-F726-4D97-A9B0-04ED236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FC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Tudor, Malcolm CTR ONR 63</cp:lastModifiedBy>
  <cp:revision>2</cp:revision>
  <dcterms:created xsi:type="dcterms:W3CDTF">2018-09-28T13:06:00Z</dcterms:created>
  <dcterms:modified xsi:type="dcterms:W3CDTF">2018-10-10T17:25:00Z</dcterms:modified>
</cp:coreProperties>
</file>