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25" w:type="dxa"/>
        <w:tblInd w:w="93" w:type="dxa"/>
        <w:tblLook w:val="04A0" w:firstRow="1" w:lastRow="0" w:firstColumn="1" w:lastColumn="0" w:noHBand="0" w:noVBand="1"/>
      </w:tblPr>
      <w:tblGrid>
        <w:gridCol w:w="1846"/>
        <w:gridCol w:w="1499"/>
        <w:gridCol w:w="2430"/>
        <w:gridCol w:w="2250"/>
        <w:gridCol w:w="2430"/>
        <w:gridCol w:w="2970"/>
      </w:tblGrid>
      <w:tr w:rsidR="00A03DE2" w:rsidRPr="000F2FCD" w14:paraId="06B7D8E6" w14:textId="77777777" w:rsidTr="00E74842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07A986" w14:textId="77777777" w:rsidR="00A03DE2" w:rsidRPr="000F2FCD" w:rsidRDefault="00A03DE2" w:rsidP="00E74842">
            <w:pPr>
              <w:rPr>
                <w:rFonts w:cs="Times New Roman"/>
              </w:rPr>
            </w:pPr>
            <w:bookmarkStart w:id="0" w:name="Tbl1" w:colFirst="0" w:colLast="0"/>
            <w:r w:rsidRPr="000F2FCD">
              <w:rPr>
                <w:rFonts w:eastAsia="Times New Roman" w:cs="Times New Roman"/>
                <w:b/>
                <w:bCs/>
                <w:sz w:val="22"/>
              </w:rPr>
              <w:t>Tab</w:t>
            </w:r>
            <w:r>
              <w:rPr>
                <w:rFonts w:eastAsia="Times New Roman" w:cs="Times New Roman"/>
                <w:b/>
                <w:bCs/>
                <w:sz w:val="22"/>
              </w:rPr>
              <w:t>le 1.  Ways of Doing Business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5851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DEB6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CA4D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D22C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</w:tr>
      <w:bookmarkEnd w:id="0"/>
      <w:tr w:rsidR="00A03DE2" w:rsidRPr="000F2FCD" w14:paraId="123AC8F5" w14:textId="77777777" w:rsidTr="00E74842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AD25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Type of Agreement (Authority)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4A1F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Parties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4D65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F621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Advantages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330A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Other Considerations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0BC7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Authorized Signatories</w:t>
            </w:r>
          </w:p>
        </w:tc>
      </w:tr>
      <w:tr w:rsidR="00A03DE2" w:rsidRPr="000F2FCD" w14:paraId="2F8F63F6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158D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Partnering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greements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A50E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D40A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6831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CA23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6C3D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3DE2" w:rsidRPr="000F2FCD" w14:paraId="244144B4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9B53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CRADA (15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§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3710a)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9983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Federal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and any other entity including other 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ederal activities.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390B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CRADA allows exchange of personnel, property and intellectual property between government and educational or private entity.  Data developed by the </w:t>
            </w:r>
            <w:r>
              <w:rPr>
                <w:rFonts w:eastAsia="Times New Roman" w:cs="Times New Roman"/>
                <w:sz w:val="18"/>
                <w:szCs w:val="18"/>
              </w:rPr>
              <w:t>g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overnment can be protected from release.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Provides commercial exposure for technology.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179D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Low cost; CRADA allows shared resources between </w:t>
            </w:r>
            <w:r>
              <w:rPr>
                <w:rFonts w:eastAsia="Times New Roman" w:cs="Times New Roman"/>
                <w:sz w:val="18"/>
                <w:szCs w:val="18"/>
              </w:rPr>
              <w:t>g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overnment and private industry. 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Federal Acquisition Regulation </w:t>
            </w:r>
            <w:r w:rsidRPr="002C4DE1">
              <w:rPr>
                <w:rFonts w:eastAsia="Times New Roman" w:cs="Times New Roman"/>
                <w:sz w:val="18"/>
                <w:szCs w:val="18"/>
              </w:rPr>
              <w:t>(FAR) and Defense Federal Acquisition Regulation Supplement (DFARS)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do not apply.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Government may receive funds.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B9D9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No funding can be provided by the </w:t>
            </w:r>
            <w:r>
              <w:rPr>
                <w:rFonts w:eastAsia="Times New Roman" w:cs="Times New Roman"/>
                <w:sz w:val="18"/>
                <w:szCs w:val="18"/>
              </w:rPr>
              <w:t>g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overnment.  Must have cooperative elements.  May have problems if CRADA exists for non-dual use technology.  Does not overcome necessary funding for contingencies.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B58A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Laboratory</w:t>
            </w:r>
          </w:p>
        </w:tc>
      </w:tr>
      <w:tr w:rsidR="00A03DE2" w:rsidRPr="000F2FCD" w14:paraId="1FD56016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717F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Cooperative Agreement (10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§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23</w:t>
            </w:r>
            <w:r>
              <w:rPr>
                <w:rFonts w:eastAsia="Times New Roman" w:cs="Times New Roman"/>
                <w:sz w:val="18"/>
                <w:szCs w:val="18"/>
              </w:rPr>
              <w:t>58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, 31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§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6305, </w:t>
            </w:r>
            <w:r>
              <w:rPr>
                <w:rFonts w:eastAsia="Times New Roman" w:cs="Times New Roman"/>
                <w:sz w:val="18"/>
                <w:szCs w:val="18"/>
              </w:rPr>
              <w:t>Department of Defense Grant and Agreement Regulations (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DoDGARs)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199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and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non-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ederal entity, other 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ederal entities may be involved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54E8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Principal purpose is to transfer something of value to carry out a public purpose of support authorized by a United States law, and the transaction requires substantial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involvement.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1CF2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Encourages basic and advanced research in areas of interest.  Allows some supervision.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79D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Government involvement and control is substantial.  Must help fulfill agency’s goals.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Funding must be for support and stimulation or be authorized by statute.  Primary purpose has no direct 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ederal </w:t>
            </w:r>
            <w:r>
              <w:rPr>
                <w:rFonts w:eastAsia="Times New Roman" w:cs="Times New Roman"/>
                <w:sz w:val="18"/>
                <w:szCs w:val="18"/>
              </w:rPr>
              <w:t>G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overnment </w:t>
            </w:r>
            <w:r>
              <w:rPr>
                <w:rFonts w:eastAsia="Times New Roman" w:cs="Times New Roman"/>
                <w:sz w:val="18"/>
                <w:szCs w:val="18"/>
              </w:rPr>
              <w:t>b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enefit.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AFD6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Contracting shop with agreements officer</w:t>
            </w:r>
          </w:p>
        </w:tc>
      </w:tr>
      <w:tr w:rsidR="00A03DE2" w:rsidRPr="000F2FCD" w14:paraId="2D63EF21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006F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Other Transactions (10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 § 2371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975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and non-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ederal entity; other 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ederal entities may be involved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99F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Purpose is to provide a flexible method that doesn’t fit into a contract, grant or cooperative agreement.  Well suited for </w:t>
            </w:r>
            <w:r>
              <w:rPr>
                <w:rFonts w:eastAsia="Times New Roman" w:cs="Times New Roman"/>
                <w:sz w:val="18"/>
                <w:szCs w:val="18"/>
              </w:rPr>
              <w:t>c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onsortium </w:t>
            </w:r>
            <w:r>
              <w:rPr>
                <w:rFonts w:eastAsia="Times New Roman" w:cs="Times New Roman"/>
                <w:sz w:val="18"/>
                <w:szCs w:val="18"/>
              </w:rPr>
              <w:t>o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versight.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Intended for dual use products and technology.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323D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Very flexible.  Can be used to avoid the imposition of </w:t>
            </w:r>
            <w:r>
              <w:rPr>
                <w:rFonts w:eastAsia="Times New Roman" w:cs="Times New Roman"/>
                <w:sz w:val="18"/>
                <w:szCs w:val="18"/>
              </w:rPr>
              <w:t>G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overnment accounting on partners.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G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overnment may receive funds.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11E5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Cannot be used if standard grants or contracts are available.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Must explain special needs.  Can only use for R&amp;D.  Cannot transfer IP rights.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5FD2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Contracting shop with agreements officer</w:t>
            </w:r>
          </w:p>
        </w:tc>
      </w:tr>
      <w:tr w:rsidR="00A03DE2" w:rsidRPr="000F2FCD" w14:paraId="7D106B79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97EE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Other Transactions for Prototyping (10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§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2371</w:t>
            </w:r>
            <w:r>
              <w:rPr>
                <w:rFonts w:eastAsia="Times New Roman" w:cs="Times New Roman"/>
                <w:sz w:val="18"/>
                <w:szCs w:val="18"/>
              </w:rPr>
              <w:t>b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8896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and non-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ederal entity; other 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ederal entities may be involved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B789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Purpose is to provide a flexible method that doesn’t fit into a contract, grant or cooperative agreement.  Well suited for </w:t>
            </w:r>
            <w:r>
              <w:rPr>
                <w:rFonts w:eastAsia="Times New Roman" w:cs="Times New Roman"/>
                <w:sz w:val="18"/>
                <w:szCs w:val="18"/>
              </w:rPr>
              <w:t>c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onsortium </w:t>
            </w:r>
            <w:r>
              <w:rPr>
                <w:rFonts w:eastAsia="Times New Roman" w:cs="Times New Roman"/>
                <w:sz w:val="18"/>
                <w:szCs w:val="18"/>
              </w:rPr>
              <w:t>o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versight.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Intended for military products and technology.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E2D4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Very flexible.  Can be used to avoid the imposition of </w:t>
            </w:r>
            <w:r>
              <w:rPr>
                <w:rFonts w:eastAsia="Times New Roman" w:cs="Times New Roman"/>
                <w:sz w:val="18"/>
                <w:szCs w:val="18"/>
              </w:rPr>
              <w:t>G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overnment accounting on partners.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G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overnment may receive funds.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B39B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Cannot be used if standard grants or contracts are available.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Non-traditional contractor, cost matching or innovative agreement required.  Competitive award for procurements unless justified.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4449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High level.  Must be delegated.</w:t>
            </w:r>
          </w:p>
        </w:tc>
      </w:tr>
    </w:tbl>
    <w:p w14:paraId="529FE925" w14:textId="60F2601D" w:rsidR="00A03DE2" w:rsidRDefault="00A03DE2"/>
    <w:p w14:paraId="4D5E2E79" w14:textId="77777777" w:rsidR="00A03DE2" w:rsidRDefault="00A03DE2">
      <w:r>
        <w:br w:type="page"/>
      </w:r>
    </w:p>
    <w:tbl>
      <w:tblPr>
        <w:tblW w:w="13425" w:type="dxa"/>
        <w:tblInd w:w="93" w:type="dxa"/>
        <w:tblLook w:val="04A0" w:firstRow="1" w:lastRow="0" w:firstColumn="1" w:lastColumn="0" w:noHBand="0" w:noVBand="1"/>
      </w:tblPr>
      <w:tblGrid>
        <w:gridCol w:w="1846"/>
        <w:gridCol w:w="1499"/>
        <w:gridCol w:w="2430"/>
        <w:gridCol w:w="2250"/>
        <w:gridCol w:w="2430"/>
        <w:gridCol w:w="2970"/>
      </w:tblGrid>
      <w:tr w:rsidR="00A03DE2" w:rsidRPr="000F2FCD" w14:paraId="46C45C7B" w14:textId="77777777" w:rsidTr="00E74842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E20096" w14:textId="77777777" w:rsidR="00A03DE2" w:rsidRPr="000F2FCD" w:rsidRDefault="00A03DE2" w:rsidP="00E74842">
            <w:pPr>
              <w:rPr>
                <w:rFonts w:cs="Times New Roman"/>
              </w:rPr>
            </w:pPr>
            <w:bookmarkStart w:id="1" w:name="_Hlk497909516"/>
            <w:r w:rsidRPr="000F2FCD">
              <w:rPr>
                <w:rFonts w:eastAsia="Times New Roman" w:cs="Times New Roman"/>
                <w:b/>
                <w:bCs/>
                <w:sz w:val="22"/>
              </w:rPr>
              <w:lastRenderedPageBreak/>
              <w:t>Tab</w:t>
            </w:r>
            <w:r>
              <w:rPr>
                <w:rFonts w:eastAsia="Times New Roman" w:cs="Times New Roman"/>
                <w:b/>
                <w:bCs/>
                <w:sz w:val="22"/>
              </w:rPr>
              <w:t>le 1.  Ways of Doing Business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65B6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F48C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7B66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B80C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</w:tr>
      <w:tr w:rsidR="00A03DE2" w:rsidRPr="000F2FCD" w14:paraId="2496046F" w14:textId="77777777" w:rsidTr="00E74842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B665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Type of Agreement (Authority)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271E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Parties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8F6D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2727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Advantages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0C37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Other Considerations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5600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Authorized Signatories</w:t>
            </w:r>
          </w:p>
        </w:tc>
      </w:tr>
      <w:tr w:rsidR="00A03DE2" w:rsidRPr="000F2FCD" w14:paraId="153F87F7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E646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Partnering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greements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DE00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8649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61A8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3A49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A43C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1"/>
      <w:tr w:rsidR="00A03DE2" w:rsidRPr="000F2FCD" w14:paraId="57F44F1F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B877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Center of Industrial and Technical Excellence Agreements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(10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§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2474)</w:t>
            </w:r>
            <w:r>
              <w:rPr>
                <w:rFonts w:eastAsia="Times New Roman" w:cs="Times New Roman"/>
                <w:sz w:val="18"/>
                <w:szCs w:val="18"/>
              </w:rPr>
              <w:t>.  Activity must obtain approval from the Agency Secretary.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8DBD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Military depot-level activity and private industry or non-DoD entities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63B3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Allows long term joint utilization of under-utilized facilities and equipment at a designated center.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B446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Depot can lease space or equipment.  Depot can receive funds but cannot provide funds.  Can establish public-private partnerships to perform work related to core competencies.  No requirement concerning lack of commercial competition.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D127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No </w:t>
            </w:r>
            <w:r>
              <w:rPr>
                <w:rFonts w:eastAsia="Times New Roman" w:cs="Times New Roman"/>
                <w:sz w:val="18"/>
                <w:szCs w:val="18"/>
              </w:rPr>
              <w:t>IP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terms.  Nature of work must be within core competency of </w:t>
            </w:r>
            <w:r>
              <w:rPr>
                <w:rFonts w:eastAsia="Times New Roman" w:cs="Times New Roman"/>
                <w:sz w:val="18"/>
                <w:szCs w:val="18"/>
              </w:rPr>
              <w:t>c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enter.  Liability similar to </w:t>
            </w:r>
            <w:r>
              <w:rPr>
                <w:rFonts w:eastAsia="Times New Roman" w:cs="Times New Roman"/>
                <w:sz w:val="18"/>
                <w:szCs w:val="18"/>
              </w:rPr>
              <w:t>Work for Private Parties (WFPP).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71FA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Delegated by Secretary of Navy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sz w:val="18"/>
                <w:szCs w:val="18"/>
              </w:rPr>
              <w:t>d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elegation letter should indicate)</w:t>
            </w:r>
          </w:p>
        </w:tc>
      </w:tr>
      <w:tr w:rsidR="00A03DE2" w:rsidRPr="000F2FCD" w14:paraId="7D81F842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4728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Education Partnership</w:t>
            </w:r>
            <w:r>
              <w:rPr>
                <w:rFonts w:eastAsia="Times New Roman" w:cs="Times New Roman"/>
                <w:sz w:val="18"/>
                <w:szCs w:val="18"/>
              </w:rPr>
              <w:t>s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(10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§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2194)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9CC6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Defense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and educational institution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5091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Allows use of institutional faculty and students in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projects, instruction by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personnel, provision of career and academic advice to students, loan of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equipment to institution, and transfer of surplus equipment.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8F16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Can use graduate students from educational institution for </w:t>
            </w:r>
            <w:r>
              <w:rPr>
                <w:rFonts w:eastAsia="Times New Roman" w:cs="Times New Roman"/>
                <w:sz w:val="18"/>
                <w:szCs w:val="18"/>
              </w:rPr>
              <w:t>laboratory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projects.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Aids the institutions and DoD in attracting qualified students and future employees.  Allows easy path for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donation of center equipment.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129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Partnership must be for the purpose of encouraging and enhancing study in the scientific disciplines.  Other party must be a non-profit educational institution.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DFC9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Laboratory</w:t>
            </w:r>
          </w:p>
        </w:tc>
      </w:tr>
      <w:tr w:rsidR="00A03DE2" w:rsidRPr="000F2FCD" w14:paraId="70CFAB53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FEC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Memorandum of Understanding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MOU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(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10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§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2350a)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DE01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Defense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and allied foreign government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BCF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Allows a cooperative research and development program between a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and a N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orth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tlantic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reaty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O</w:t>
            </w:r>
            <w:r>
              <w:rPr>
                <w:rFonts w:eastAsia="Times New Roman" w:cs="Times New Roman"/>
                <w:sz w:val="18"/>
                <w:szCs w:val="18"/>
              </w:rPr>
              <w:t>rganization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or allied foreign country for the purpose of improving co</w:t>
            </w:r>
            <w:r>
              <w:rPr>
                <w:rFonts w:eastAsia="Times New Roman" w:cs="Times New Roman"/>
                <w:sz w:val="18"/>
                <w:szCs w:val="18"/>
              </w:rPr>
              <w:t>nventional defense capabilities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C340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Allows establishment of cooperative research between nations.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2E76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MOU must be rigidly monitored to avoid violation of treaties with other countries.  Requires high level approval.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5842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Secretary of Defens</w:t>
            </w:r>
            <w:r>
              <w:rPr>
                <w:rFonts w:eastAsia="Times New Roman" w:cs="Times New Roman"/>
                <w:sz w:val="18"/>
                <w:szCs w:val="18"/>
              </w:rPr>
              <w:t>e (limited ability to delegate)</w:t>
            </w:r>
          </w:p>
        </w:tc>
      </w:tr>
      <w:tr w:rsidR="00A03DE2" w:rsidRPr="000F2FCD" w14:paraId="19CF8B35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76B3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MOU or M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emorandum of Agreement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(M</w:t>
            </w:r>
            <w:r>
              <w:rPr>
                <w:rFonts w:eastAsia="Times New Roman" w:cs="Times New Roman"/>
                <w:sz w:val="18"/>
                <w:szCs w:val="18"/>
              </w:rPr>
              <w:t>OA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B26E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Lab and another government agency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F40A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Formalized agreement between two Federal agencies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E173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Allows agencies to share resources in areas where they have a common interest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CCFF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Not enforceable in court.  Merely a formalization of mutual interest.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32C5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Authorized laboratory representative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and authorized party from other entity</w:t>
            </w:r>
          </w:p>
        </w:tc>
      </w:tr>
      <w:tr w:rsidR="00A03DE2" w:rsidRPr="000F2FCD" w14:paraId="68DB80D5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2959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MOU or MOA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24E8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and commercial entity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AF7F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Formalized agreement providing order to relationship without allocating resources.  Can include non-disclosure.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8575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Allows agencies sharing of information in areas with a common interest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D00A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Legal review should ensure no enforceable promises or allocation of resources.  Merely a formalization of mutual interest.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F743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Authorized laboratory representative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and authorized party from other entity</w:t>
            </w:r>
          </w:p>
        </w:tc>
      </w:tr>
      <w:tr w:rsidR="00A03DE2" w:rsidRPr="000F2FCD" w14:paraId="011F6D7C" w14:textId="77777777" w:rsidTr="00E74842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EA4DC2" w14:textId="77777777" w:rsidR="00A03DE2" w:rsidRPr="000F2FCD" w:rsidRDefault="00A03DE2" w:rsidP="00E74842">
            <w:pPr>
              <w:rPr>
                <w:rFonts w:cs="Times New Roman"/>
              </w:rPr>
            </w:pPr>
            <w:bookmarkStart w:id="2" w:name="_Hlk497909671"/>
            <w:r w:rsidRPr="000F2FCD">
              <w:rPr>
                <w:rFonts w:eastAsia="Times New Roman" w:cs="Times New Roman"/>
                <w:b/>
                <w:bCs/>
                <w:sz w:val="22"/>
              </w:rPr>
              <w:lastRenderedPageBreak/>
              <w:t>Tab</w:t>
            </w:r>
            <w:r>
              <w:rPr>
                <w:rFonts w:eastAsia="Times New Roman" w:cs="Times New Roman"/>
                <w:b/>
                <w:bCs/>
                <w:sz w:val="22"/>
              </w:rPr>
              <w:t>le 1.  Ways of Doing Business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F847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6561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0CCF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587D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</w:tr>
      <w:tr w:rsidR="00A03DE2" w:rsidRPr="000F2FCD" w14:paraId="54D0BD9E" w14:textId="77777777" w:rsidTr="00E74842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D8C2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Type of Agreement (Authority)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527D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Parties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3360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E7A6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Advantages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72A5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Other Considerations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E548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Authorized Signatories</w:t>
            </w:r>
          </w:p>
        </w:tc>
      </w:tr>
      <w:bookmarkEnd w:id="2"/>
      <w:tr w:rsidR="00A03DE2" w:rsidRPr="000F2FCD" w14:paraId="1C319751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34A8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Partnering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greements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FE34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DD52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50C1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DE46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D4F4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3DE2" w:rsidRPr="000F2FCD" w14:paraId="27F55597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CFE0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Intergovernmental Personnel Assignment </w:t>
            </w:r>
            <w:r>
              <w:rPr>
                <w:rFonts w:eastAsia="Times New Roman" w:cs="Times New Roman"/>
                <w:sz w:val="18"/>
                <w:szCs w:val="18"/>
              </w:rPr>
              <w:t>(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5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§§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3371</w:t>
            </w:r>
            <w:r>
              <w:rPr>
                <w:rFonts w:eastAsia="Times New Roman" w:cs="Times New Roman"/>
                <w:sz w:val="18"/>
                <w:szCs w:val="18"/>
              </w:rPr>
              <w:t>-3376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88DD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and 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ederal, </w:t>
            </w:r>
            <w:r>
              <w:rPr>
                <w:rFonts w:eastAsia="Times New Roman" w:cs="Times New Roman"/>
                <w:sz w:val="18"/>
                <w:szCs w:val="18"/>
              </w:rPr>
              <w:t>S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tate or </w:t>
            </w:r>
            <w:r>
              <w:rPr>
                <w:rFonts w:eastAsia="Times New Roman" w:cs="Times New Roman"/>
                <w:sz w:val="18"/>
                <w:szCs w:val="18"/>
              </w:rPr>
              <w:t>l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ocal government or a qualified non-profit entity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3A82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Allows the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or the governmental unit to transfer employees to work on projects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or allow state government employees to be assigned to a laboratory.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7E38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Increases agency flexibility in cooperation with educational institutions and qualified non-profit entity.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00E3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D671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Human resources office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d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irector with Command</w:t>
            </w:r>
            <w:r>
              <w:rPr>
                <w:rFonts w:eastAsia="Times New Roman" w:cs="Times New Roman"/>
                <w:sz w:val="18"/>
                <w:szCs w:val="18"/>
              </w:rPr>
              <w:t>ing Officer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’s approval</w:t>
            </w:r>
          </w:p>
        </w:tc>
      </w:tr>
      <w:tr w:rsidR="00A03DE2" w:rsidRPr="000F2FCD" w14:paraId="6D6A22B4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9E13F9A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1519DD6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320D8A2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E239A0A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6D94DA6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9848EE0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03DE2" w:rsidRPr="000F2FCD" w14:paraId="31B75DA7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52FF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Non-Partnering Agreements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C101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F7F6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85D7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4B1E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98B5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03DE2" w:rsidRPr="000F2FCD" w14:paraId="7D5B15CF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99E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Contract (31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§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6303, FAR, DFARS)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CCC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and non-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ederal entity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94AF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Principle purpose of the instrument is to acquire goods or services for the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F0F6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Closely fulfills needs in carrying out mission.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0315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FAR and DFARS control formation and performance.  C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ompetition in Contracting Act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applies.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FDD1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Contracting officer and other party</w:t>
            </w:r>
          </w:p>
        </w:tc>
      </w:tr>
      <w:tr w:rsidR="00A03DE2" w:rsidRPr="000F2FCD" w14:paraId="0CF33C4D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B311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Grant (31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§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6304, DoDGARs)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593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and non-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ederal entity; other 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ederal entities may be involved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2644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Principle purpose is to transfer something of value to carry out a public purpose of support authorized by a U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nited States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law, and the transaction does not require substantial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involvement.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E5E1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Allows support of worthy groups by transfer of resources.  Encourages basic and advanced research in areas of interest.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C73A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Government involvement and control is minimal.  Grant must help fulfill </w:t>
            </w:r>
            <w:r>
              <w:rPr>
                <w:rFonts w:eastAsia="Times New Roman" w:cs="Times New Roman"/>
                <w:sz w:val="18"/>
                <w:szCs w:val="18"/>
              </w:rPr>
              <w:t>a public purpose of support or stimulation authorized by Law, and not to acquire property or services for use by the Government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.  Primary purpose has no direct 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ederal </w:t>
            </w:r>
            <w:r>
              <w:rPr>
                <w:rFonts w:eastAsia="Times New Roman" w:cs="Times New Roman"/>
                <w:sz w:val="18"/>
                <w:szCs w:val="18"/>
              </w:rPr>
              <w:t>G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overnment </w:t>
            </w:r>
            <w:r>
              <w:rPr>
                <w:rFonts w:eastAsia="Times New Roman" w:cs="Times New Roman"/>
                <w:sz w:val="18"/>
                <w:szCs w:val="18"/>
              </w:rPr>
              <w:t>b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enefit.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B16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Contracting shop with agreements officer</w:t>
            </w:r>
          </w:p>
        </w:tc>
      </w:tr>
      <w:tr w:rsidR="00A03DE2" w:rsidRPr="000F2FCD" w14:paraId="38E5BC6B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150F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W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PP</w:t>
            </w:r>
            <w:r>
              <w:rPr>
                <w:rFonts w:eastAsia="Times New Roman" w:cs="Times New Roman"/>
                <w:sz w:val="18"/>
                <w:szCs w:val="18"/>
              </w:rPr>
              <w:t>/WFNE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(Goods &amp; Services) (10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§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2563)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DE68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Working capital funded activity and private party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FC39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The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can provide its unique services or equipment in the marketplace when excess resources are available.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D246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Allows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to receive payments from a commercial entity to perform work for that entity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B0C8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This transaction requires legal review.  Commercial competition </w:t>
            </w:r>
            <w:r w:rsidRPr="000F2FCD">
              <w:rPr>
                <w:rFonts w:eastAsia="Times New Roman" w:cs="Times New Roman"/>
                <w:sz w:val="18"/>
                <w:szCs w:val="18"/>
                <w:u w:val="single"/>
              </w:rPr>
              <w:t>is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prohibited. Requires risk analysis.  No IP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rights are shared/granted.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AAF8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Authorized representative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of Defense </w:t>
            </w:r>
            <w:r>
              <w:rPr>
                <w:rFonts w:eastAsia="Times New Roman" w:cs="Times New Roman"/>
                <w:sz w:val="18"/>
                <w:szCs w:val="18"/>
              </w:rPr>
              <w:t>Working Capital funded activity</w:t>
            </w:r>
          </w:p>
        </w:tc>
      </w:tr>
      <w:tr w:rsidR="00A03DE2" w:rsidRPr="000F2FCD" w14:paraId="6E9761C6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23EB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WFPP/WFNE (10 U.S. Code § 2539b, Samples, Drawings, Information, Equipment, Materials, and Certain Services)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E069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Laboratories, research centers, ranges, or other testing facilities and private party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0785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The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can provide its unique equipment and facilities for use in the marketplace when excess resources are available.  Allows commercial entities to use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facilities.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37F5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Allows 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to receive payments from a commercial entity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(e.g., sell samples)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to perform work for that entity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8627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Available for items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and services not readily available from the private sector.  Wider availability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than 10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§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25</w:t>
            </w:r>
            <w:r>
              <w:rPr>
                <w:rFonts w:eastAsia="Times New Roman" w:cs="Times New Roman"/>
                <w:sz w:val="18"/>
                <w:szCs w:val="18"/>
              </w:rPr>
              <w:t>6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3.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Government entity must be uniquely qualified.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Private party must indemnify the </w:t>
            </w:r>
            <w:r>
              <w:rPr>
                <w:rFonts w:eastAsia="Times New Roman" w:cs="Times New Roman"/>
                <w:sz w:val="18"/>
                <w:szCs w:val="18"/>
              </w:rPr>
              <w:t>G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overnment.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38F9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Command</w:t>
            </w:r>
            <w:r>
              <w:rPr>
                <w:rFonts w:eastAsia="Times New Roman" w:cs="Times New Roman"/>
                <w:sz w:val="18"/>
                <w:szCs w:val="18"/>
              </w:rPr>
              <w:t>ing Officer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of Defense Working C</w:t>
            </w:r>
            <w:r>
              <w:rPr>
                <w:rFonts w:eastAsia="Times New Roman" w:cs="Times New Roman"/>
                <w:sz w:val="18"/>
                <w:szCs w:val="18"/>
              </w:rPr>
              <w:t>apital funded activity</w:t>
            </w:r>
          </w:p>
        </w:tc>
      </w:tr>
      <w:tr w:rsidR="00A03DE2" w:rsidRPr="000F2FCD" w14:paraId="2ACABEA2" w14:textId="77777777" w:rsidTr="00E74842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8EE769" w14:textId="77777777" w:rsidR="00A03DE2" w:rsidRPr="000F2FCD" w:rsidRDefault="00A03DE2" w:rsidP="00E74842">
            <w:pPr>
              <w:rPr>
                <w:rFonts w:cs="Times New Roman"/>
              </w:rPr>
            </w:pPr>
            <w:r w:rsidRPr="000F2FCD">
              <w:rPr>
                <w:rFonts w:eastAsia="Times New Roman" w:cs="Times New Roman"/>
                <w:b/>
                <w:bCs/>
                <w:sz w:val="22"/>
              </w:rPr>
              <w:lastRenderedPageBreak/>
              <w:t>Tab</w:t>
            </w:r>
            <w:r>
              <w:rPr>
                <w:rFonts w:eastAsia="Times New Roman" w:cs="Times New Roman"/>
                <w:b/>
                <w:bCs/>
                <w:sz w:val="22"/>
              </w:rPr>
              <w:t>le 1.  Ways of Doing Business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71FF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2F16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249A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F7F9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</w:tr>
      <w:tr w:rsidR="00A03DE2" w:rsidRPr="000F2FCD" w14:paraId="7FBEE451" w14:textId="77777777" w:rsidTr="00E74842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2904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Type of Agreement (Authority)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41F8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Parties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6D76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FB58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Advantages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30A4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Other Considerations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DCF8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Authorized Signatories</w:t>
            </w:r>
          </w:p>
        </w:tc>
      </w:tr>
      <w:tr w:rsidR="00A03DE2" w:rsidRPr="000F2FCD" w14:paraId="435396BA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E98A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Non-Partnering Agreements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458D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F3B5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5D85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670C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05E2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03DE2" w:rsidRPr="000F2FCD" w14:paraId="5F294FB8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3F6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Range Test Agreement (10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§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2681)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1AF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DoD and </w:t>
            </w:r>
            <w:r>
              <w:rPr>
                <w:rFonts w:eastAsia="Times New Roman" w:cs="Times New Roman"/>
                <w:sz w:val="18"/>
                <w:szCs w:val="18"/>
              </w:rPr>
              <w:t>c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ommercial entity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D5B0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Services of a major range and test facility may be provided.  Facility must be designated as such by DoD.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BE39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Cost reimbursement of direct costs is authorized to the appropriation accounts incurring the costs.  Appropriate indirect costs can also be billed.  Specific required construction can be a cost.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4FDF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Testing must be at the designated facility.  Contract is terminable upon writing with specified determinations.  Must have indemnification.  Non-competition is not required when work is being performed for a </w:t>
            </w:r>
            <w:r>
              <w:rPr>
                <w:rFonts w:eastAsia="Times New Roman" w:cs="Times New Roman"/>
                <w:sz w:val="18"/>
                <w:szCs w:val="18"/>
              </w:rPr>
              <w:t>G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overnment end-user.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FC92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Commanding Officer</w:t>
            </w:r>
          </w:p>
        </w:tc>
      </w:tr>
      <w:tr w:rsidR="00A03DE2" w:rsidRPr="000F2FCD" w14:paraId="66328BAD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2826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Economy Act Order (31 U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>. Code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§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1535) Military </w:t>
            </w:r>
            <w:r>
              <w:rPr>
                <w:rFonts w:eastAsia="Times New Roman" w:cs="Times New Roman"/>
                <w:sz w:val="18"/>
                <w:szCs w:val="18"/>
              </w:rPr>
              <w:t>Interdepartmental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Procuremen</w:t>
            </w:r>
            <w:r>
              <w:rPr>
                <w:rFonts w:eastAsia="Times New Roman" w:cs="Times New Roman"/>
                <w:sz w:val="18"/>
                <w:szCs w:val="18"/>
              </w:rPr>
              <w:t>t Request has same terms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1FA2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Two governmental units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5DEB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can order goods and services from or provide goods and services to another government agency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F8EE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Allows use/sale of resources from another agency if advantageous.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A656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Must be cheaper than privately available.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Cannot use to circumvent FAR, DFARs without high level approval.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3650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Authorized agency or laboratory representative</w:t>
            </w:r>
          </w:p>
        </w:tc>
      </w:tr>
      <w:tr w:rsidR="00A03DE2" w:rsidRPr="000F2FCD" w14:paraId="34D3AC62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6C46" w14:textId="77777777" w:rsidR="00A03DE2" w:rsidRPr="00A95314" w:rsidRDefault="00A03DE2" w:rsidP="00E74842">
            <w:pPr>
              <w:rPr>
                <w:rFonts w:eastAsia="Times New Roman" w:cs="Times New Roman"/>
                <w:sz w:val="18"/>
                <w:szCs w:val="18"/>
                <w:vertAlign w:val="superscript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Incoming Bailment or No Cost Contract</w:t>
            </w:r>
            <w:r w:rsidRPr="00A95314">
              <w:rPr>
                <w:rStyle w:val="FootnoteReference"/>
                <w:rFonts w:eastAsia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  <w:p w14:paraId="02B7A003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(FAR, DFARS)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39C0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Laboratory and non-Federal entity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7076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</w:rPr>
              <w:t>Temporary transfer property from the non-Federal entity to the Government.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5D6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</w:rPr>
              <w:t>No cost; however, contingencies must be covered by available funding.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CA22" w14:textId="77777777" w:rsidR="00A03DE2" w:rsidRPr="000F2FCD" w:rsidRDefault="00A03DE2" w:rsidP="00E74842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</w:rPr>
              <w:t>Potential unfunded liability if transferred item is lost.  Replacement funding must be available.  FAR and DFARS control formation and performance.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4249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Contracting officer and other party</w:t>
            </w:r>
          </w:p>
        </w:tc>
      </w:tr>
      <w:tr w:rsidR="00A03DE2" w:rsidRPr="000F2FCD" w14:paraId="1F4F8590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F87B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Outgoing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Bailment Agreement</w:t>
            </w:r>
            <w:r w:rsidRPr="00A95314">
              <w:rPr>
                <w:rFonts w:eastAsia="Times New Roman" w:cs="Times New Roman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(10 U.S. Code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§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2539b)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4819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Lab</w:t>
            </w:r>
            <w:r>
              <w:rPr>
                <w:rFonts w:eastAsia="Times New Roman" w:cs="Times New Roman"/>
                <w:sz w:val="18"/>
                <w:szCs w:val="18"/>
              </w:rPr>
              <w:t>oratory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 and non-</w:t>
            </w: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ederal entity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B083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Temporary transfer of property from the laboratory to the non-Federal entity.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6BB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Can charge fees.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AC1E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Not all laboratories have authority to do all parts of 10 U.S. Code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§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2539b.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C3CD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Authorized laboratory representative and authorized other party representative</w:t>
            </w:r>
          </w:p>
        </w:tc>
      </w:tr>
      <w:tr w:rsidR="00A03DE2" w:rsidRPr="000F2FCD" w14:paraId="6F0928FA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A2FA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 xml:space="preserve">Non-disclosure Agreement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(NDA)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sz w:val="18"/>
                <w:szCs w:val="18"/>
              </w:rPr>
              <w:t>Contractually Binding)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3D78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Federal Government 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and </w:t>
            </w:r>
            <w:r>
              <w:rPr>
                <w:rFonts w:eastAsia="Times New Roman" w:cs="Times New Roman"/>
                <w:sz w:val="18"/>
                <w:szCs w:val="18"/>
              </w:rPr>
              <w:t>non-Federal e</w:t>
            </w:r>
            <w:r w:rsidRPr="000F2FCD">
              <w:rPr>
                <w:rFonts w:eastAsia="Times New Roman" w:cs="Times New Roman"/>
                <w:sz w:val="18"/>
                <w:szCs w:val="18"/>
              </w:rPr>
              <w:t xml:space="preserve">ntity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E69B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Permits the parties to exchange information free from risk of public disclosure.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A31F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Non-public information is protected.  NDA can lead to further collaboration under a separate agreement.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BBC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0F2FCD">
              <w:rPr>
                <w:rFonts w:eastAsia="Times New Roman" w:cs="Times New Roman"/>
                <w:sz w:val="18"/>
                <w:szCs w:val="18"/>
              </w:rPr>
              <w:t>Individuals cannot sign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on behalf of the Government.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4B49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Authorized Government representative and authorized other party representative.</w:t>
            </w:r>
          </w:p>
        </w:tc>
      </w:tr>
    </w:tbl>
    <w:p w14:paraId="3A6572D0" w14:textId="4B96B063" w:rsidR="00A03DE2" w:rsidRDefault="00A03DE2"/>
    <w:p w14:paraId="6EF99456" w14:textId="77777777" w:rsidR="00A03DE2" w:rsidRDefault="00A03DE2">
      <w:r>
        <w:br w:type="page"/>
      </w:r>
    </w:p>
    <w:tbl>
      <w:tblPr>
        <w:tblW w:w="13425" w:type="dxa"/>
        <w:tblInd w:w="93" w:type="dxa"/>
        <w:tblLook w:val="04A0" w:firstRow="1" w:lastRow="0" w:firstColumn="1" w:lastColumn="0" w:noHBand="0" w:noVBand="1"/>
      </w:tblPr>
      <w:tblGrid>
        <w:gridCol w:w="1846"/>
        <w:gridCol w:w="1499"/>
        <w:gridCol w:w="2430"/>
        <w:gridCol w:w="2250"/>
        <w:gridCol w:w="2430"/>
        <w:gridCol w:w="2970"/>
      </w:tblGrid>
      <w:tr w:rsidR="00A03DE2" w:rsidRPr="000F2FCD" w14:paraId="3B1060D8" w14:textId="77777777" w:rsidTr="00E74842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2AAA74" w14:textId="77777777" w:rsidR="00A03DE2" w:rsidRPr="000F2FCD" w:rsidRDefault="00A03DE2" w:rsidP="00E74842">
            <w:pPr>
              <w:rPr>
                <w:rFonts w:cs="Times New Roman"/>
              </w:rPr>
            </w:pPr>
            <w:r w:rsidRPr="000F2FCD">
              <w:rPr>
                <w:rFonts w:eastAsia="Times New Roman" w:cs="Times New Roman"/>
                <w:b/>
                <w:bCs/>
                <w:sz w:val="22"/>
              </w:rPr>
              <w:lastRenderedPageBreak/>
              <w:t>Tab</w:t>
            </w:r>
            <w:r>
              <w:rPr>
                <w:rFonts w:eastAsia="Times New Roman" w:cs="Times New Roman"/>
                <w:b/>
                <w:bCs/>
                <w:sz w:val="22"/>
              </w:rPr>
              <w:t>le 1.  Ways of Doing Business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FCA2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9A2E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D3EA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A5EE" w14:textId="77777777" w:rsidR="00A03DE2" w:rsidRPr="000F2FCD" w:rsidRDefault="00A03DE2" w:rsidP="00E74842">
            <w:pPr>
              <w:rPr>
                <w:rFonts w:cs="Times New Roman"/>
              </w:rPr>
            </w:pPr>
          </w:p>
        </w:tc>
      </w:tr>
      <w:tr w:rsidR="00A03DE2" w:rsidRPr="000F2FCD" w14:paraId="36480796" w14:textId="77777777" w:rsidTr="00E74842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1FF2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Type of Agreement (Authority)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932E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Parties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26C0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Effect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61D3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Advantages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BFD5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Other Considerations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22AC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Authorized Signatories</w:t>
            </w:r>
          </w:p>
        </w:tc>
      </w:tr>
      <w:tr w:rsidR="00A03DE2" w:rsidRPr="000F2FCD" w14:paraId="5E6DE29A" w14:textId="77777777" w:rsidTr="00E74842"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DCF0" w14:textId="77777777" w:rsidR="00A03DE2" w:rsidRPr="000F2FCD" w:rsidRDefault="00A03DE2" w:rsidP="00E74842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F2FCD">
              <w:rPr>
                <w:rFonts w:eastAsia="Times New Roman" w:cs="Times New Roman"/>
                <w:b/>
                <w:bCs/>
                <w:sz w:val="20"/>
                <w:szCs w:val="20"/>
              </w:rPr>
              <w:t>Non-Partnering Agreements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95B1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6B1D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F9C6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EA49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C5B1" w14:textId="77777777" w:rsidR="00A03DE2" w:rsidRPr="000F2FCD" w:rsidRDefault="00A03DE2" w:rsidP="00E7484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03DE2" w:rsidRPr="000F2FCD" w14:paraId="7A7E0646" w14:textId="77777777" w:rsidTr="00E74842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1CD7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Patent License Agreement (35 U.S. Code</w:t>
            </w:r>
            <w:r w:rsidRPr="00277AD0">
              <w:rPr>
                <w:rFonts w:cs="Times New Roman"/>
                <w:spacing w:val="-1"/>
                <w:sz w:val="18"/>
                <w:szCs w:val="18"/>
              </w:rPr>
              <w:t xml:space="preserve"> §§</w:t>
            </w:r>
            <w:r>
              <w:rPr>
                <w:rFonts w:cs="Times New Roman"/>
                <w:spacing w:val="-1"/>
                <w:sz w:val="18"/>
                <w:szCs w:val="18"/>
              </w:rPr>
              <w:t xml:space="preserve"> </w:t>
            </w:r>
            <w:r w:rsidRPr="00277AD0">
              <w:rPr>
                <w:rFonts w:cs="Times New Roman"/>
                <w:spacing w:val="-1"/>
                <w:sz w:val="18"/>
                <w:szCs w:val="18"/>
              </w:rPr>
              <w:t>207-211</w:t>
            </w:r>
            <w:r>
              <w:rPr>
                <w:rFonts w:cs="Times New Roman"/>
                <w:spacing w:val="-1"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375A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 and private party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49F8" w14:textId="77777777" w:rsidR="00A03DE2" w:rsidRPr="0040661D" w:rsidRDefault="00A03DE2" w:rsidP="00E74842">
            <w:pPr>
              <w:rPr>
                <w:rFonts w:eastAsia="Times New Roman"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pacing w:val="-1"/>
                <w:sz w:val="18"/>
                <w:szCs w:val="18"/>
              </w:rPr>
              <w:t>Inventions may be licensed to private parties under certain circumstances.  See SECNAVINST 5870.2E and 5700.17A</w:t>
            </w:r>
            <w:r w:rsidRPr="00444732">
              <w:rPr>
                <w:rStyle w:val="FootnoteReference"/>
                <w:rFonts w:cs="Times New Roman"/>
                <w:spacing w:val="-1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382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Transfer DON inventions for commercial purposes.  Royalty payments for inventors, laboratories/technical activities.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EF7C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D64272">
              <w:rPr>
                <w:rFonts w:cs="Times New Roman"/>
                <w:sz w:val="18"/>
                <w:szCs w:val="18"/>
              </w:rPr>
              <w:t xml:space="preserve">DON </w:t>
            </w:r>
            <w:r>
              <w:rPr>
                <w:rFonts w:cs="Times New Roman"/>
                <w:sz w:val="18"/>
                <w:szCs w:val="18"/>
              </w:rPr>
              <w:t>l</w:t>
            </w:r>
            <w:r w:rsidRPr="00D64272">
              <w:rPr>
                <w:rFonts w:cs="Times New Roman"/>
                <w:sz w:val="18"/>
                <w:szCs w:val="18"/>
              </w:rPr>
              <w:t xml:space="preserve">aboratory and/or </w:t>
            </w:r>
            <w:r>
              <w:rPr>
                <w:rFonts w:cs="Times New Roman"/>
                <w:sz w:val="18"/>
                <w:szCs w:val="18"/>
              </w:rPr>
              <w:t>t</w:t>
            </w:r>
            <w:r w:rsidRPr="00D64272">
              <w:rPr>
                <w:rFonts w:cs="Times New Roman"/>
                <w:sz w:val="18"/>
                <w:szCs w:val="18"/>
              </w:rPr>
              <w:t xml:space="preserve">echnical 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D64272">
              <w:rPr>
                <w:rFonts w:cs="Times New Roman"/>
                <w:sz w:val="18"/>
                <w:szCs w:val="18"/>
              </w:rPr>
              <w:t>ctivity</w:t>
            </w:r>
            <w:r>
              <w:rPr>
                <w:rFonts w:cs="Times New Roman"/>
                <w:sz w:val="18"/>
                <w:szCs w:val="18"/>
              </w:rPr>
              <w:t xml:space="preserve"> must be designated per SECNAVINST 5700.17A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736CB" w14:textId="77777777" w:rsidR="00A03DE2" w:rsidRPr="000F2FCD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 w:rsidRPr="00D64272">
              <w:rPr>
                <w:rFonts w:cs="Times New Roman"/>
                <w:sz w:val="18"/>
                <w:szCs w:val="18"/>
              </w:rPr>
              <w:t xml:space="preserve">The </w:t>
            </w:r>
            <w:r>
              <w:rPr>
                <w:rFonts w:cs="Times New Roman"/>
                <w:sz w:val="18"/>
                <w:szCs w:val="18"/>
              </w:rPr>
              <w:t>h</w:t>
            </w:r>
            <w:r w:rsidRPr="00D64272">
              <w:rPr>
                <w:rFonts w:cs="Times New Roman"/>
                <w:sz w:val="18"/>
                <w:szCs w:val="18"/>
              </w:rPr>
              <w:t xml:space="preserve">ead of designated DON </w:t>
            </w:r>
            <w:r>
              <w:rPr>
                <w:rFonts w:cs="Times New Roman"/>
                <w:sz w:val="18"/>
                <w:szCs w:val="18"/>
              </w:rPr>
              <w:t>l</w:t>
            </w:r>
            <w:r w:rsidRPr="00D64272">
              <w:rPr>
                <w:rFonts w:cs="Times New Roman"/>
                <w:sz w:val="18"/>
                <w:szCs w:val="18"/>
              </w:rPr>
              <w:t xml:space="preserve">aboratory and/or </w:t>
            </w:r>
            <w:r>
              <w:rPr>
                <w:rFonts w:cs="Times New Roman"/>
                <w:sz w:val="18"/>
                <w:szCs w:val="18"/>
              </w:rPr>
              <w:t>t</w:t>
            </w:r>
            <w:r w:rsidRPr="00D64272">
              <w:rPr>
                <w:rFonts w:cs="Times New Roman"/>
                <w:sz w:val="18"/>
                <w:szCs w:val="18"/>
              </w:rPr>
              <w:t xml:space="preserve">echnical 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D64272">
              <w:rPr>
                <w:rFonts w:cs="Times New Roman"/>
                <w:sz w:val="18"/>
                <w:szCs w:val="18"/>
              </w:rPr>
              <w:t>ctivity</w:t>
            </w:r>
          </w:p>
        </w:tc>
      </w:tr>
      <w:tr w:rsidR="00A03DE2" w:rsidRPr="000F2FCD" w14:paraId="1A3F30A1" w14:textId="77777777" w:rsidTr="00E74842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A749" w14:textId="77777777" w:rsidR="00A03DE2" w:rsidRDefault="00A03DE2" w:rsidP="00E7484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pacing w:val="-1"/>
                <w:sz w:val="18"/>
                <w:szCs w:val="18"/>
              </w:rPr>
              <w:t>Software License Agreement (</w:t>
            </w:r>
            <w:r w:rsidRPr="00277AD0">
              <w:rPr>
                <w:rFonts w:cs="Times New Roman"/>
                <w:spacing w:val="-1"/>
                <w:sz w:val="18"/>
                <w:szCs w:val="18"/>
              </w:rPr>
              <w:t xml:space="preserve">10 </w:t>
            </w:r>
            <w:r>
              <w:rPr>
                <w:rFonts w:cs="Times New Roman"/>
                <w:spacing w:val="-1"/>
                <w:sz w:val="18"/>
                <w:szCs w:val="18"/>
              </w:rPr>
              <w:t>U.</w:t>
            </w:r>
            <w:r w:rsidRPr="00277AD0">
              <w:rPr>
                <w:rFonts w:cs="Times New Roman"/>
                <w:spacing w:val="-1"/>
                <w:sz w:val="18"/>
                <w:szCs w:val="18"/>
              </w:rPr>
              <w:t>S</w:t>
            </w:r>
            <w:r>
              <w:rPr>
                <w:rFonts w:cs="Times New Roman"/>
                <w:spacing w:val="-1"/>
                <w:sz w:val="18"/>
                <w:szCs w:val="18"/>
              </w:rPr>
              <w:t>. Code</w:t>
            </w:r>
            <w:r w:rsidRPr="00277AD0">
              <w:rPr>
                <w:rFonts w:cs="Times New Roman"/>
                <w:spacing w:val="-1"/>
                <w:sz w:val="18"/>
                <w:szCs w:val="18"/>
              </w:rPr>
              <w:t xml:space="preserve"> §</w:t>
            </w:r>
            <w:r>
              <w:rPr>
                <w:rFonts w:cs="Times New Roman"/>
                <w:spacing w:val="-1"/>
                <w:sz w:val="18"/>
                <w:szCs w:val="18"/>
              </w:rPr>
              <w:t xml:space="preserve"> </w:t>
            </w:r>
            <w:r w:rsidRPr="00277AD0">
              <w:rPr>
                <w:rFonts w:cs="Times New Roman"/>
                <w:spacing w:val="-1"/>
                <w:sz w:val="18"/>
                <w:szCs w:val="18"/>
              </w:rPr>
              <w:t>2514 note (2016) (Enhanced Transfer of Technology Developed at Department of Defense Laboratories</w:t>
            </w:r>
            <w:r>
              <w:rPr>
                <w:rFonts w:cs="Times New Roman"/>
                <w:spacing w:val="-1"/>
                <w:sz w:val="18"/>
                <w:szCs w:val="18"/>
              </w:rPr>
              <w:t>))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7F1A" w14:textId="77777777" w:rsidR="00A03DE2" w:rsidRDefault="00A03DE2" w:rsidP="00E7484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DON and private party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CB48" w14:textId="77777777" w:rsidR="00A03DE2" w:rsidRPr="0040661D" w:rsidRDefault="00A03DE2" w:rsidP="00E74842">
            <w:pPr>
              <w:rPr>
                <w:rFonts w:cs="Times New Roman"/>
                <w:spacing w:val="-1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pacing w:val="-1"/>
                <w:sz w:val="18"/>
                <w:szCs w:val="18"/>
              </w:rPr>
              <w:t>Computer software and computer software documentation may be protected from release under Freedom of Information Act, and licensed for commercial purposes under certain circumstances.  See SECNAVINST 5870.2E and 5700.17A</w:t>
            </w:r>
            <w:r w:rsidRPr="00F940CC">
              <w:rPr>
                <w:rFonts w:cs="Times New Roman"/>
                <w:spacing w:val="-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63E6" w14:textId="77777777" w:rsidR="00A03DE2" w:rsidRDefault="00A03DE2" w:rsidP="00E74842">
            <w:pPr>
              <w:rPr>
                <w:rFonts w:cs="Times New Roman"/>
                <w:sz w:val="18"/>
                <w:szCs w:val="18"/>
              </w:rPr>
            </w:pPr>
            <w:r w:rsidRPr="008028AF">
              <w:rPr>
                <w:rFonts w:cs="Times New Roman"/>
                <w:sz w:val="18"/>
                <w:szCs w:val="18"/>
              </w:rPr>
              <w:t xml:space="preserve">Transfer </w:t>
            </w:r>
            <w:r>
              <w:rPr>
                <w:rFonts w:cs="Times New Roman"/>
                <w:sz w:val="18"/>
                <w:szCs w:val="18"/>
              </w:rPr>
              <w:t xml:space="preserve">qualifying </w:t>
            </w:r>
            <w:r w:rsidRPr="008028AF">
              <w:rPr>
                <w:rFonts w:cs="Times New Roman"/>
                <w:sz w:val="18"/>
                <w:szCs w:val="18"/>
              </w:rPr>
              <w:t xml:space="preserve">DoD </w:t>
            </w:r>
            <w:r>
              <w:rPr>
                <w:rFonts w:cs="Times New Roman"/>
                <w:sz w:val="18"/>
                <w:szCs w:val="18"/>
              </w:rPr>
              <w:t>Software</w:t>
            </w:r>
            <w:r w:rsidRPr="008028AF">
              <w:rPr>
                <w:rFonts w:cs="Times New Roman"/>
                <w:sz w:val="18"/>
                <w:szCs w:val="18"/>
              </w:rPr>
              <w:t xml:space="preserve"> for commercial purposes.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028AF">
              <w:rPr>
                <w:rFonts w:cs="Times New Roman"/>
                <w:sz w:val="18"/>
                <w:szCs w:val="18"/>
              </w:rPr>
              <w:t>Royalty payments for inventors, laboratories/technical activities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20C1" w14:textId="77777777" w:rsidR="00A03DE2" w:rsidRPr="00D64272" w:rsidRDefault="00A03DE2" w:rsidP="00E74842">
            <w:pPr>
              <w:rPr>
                <w:rFonts w:cs="Times New Roman"/>
                <w:sz w:val="18"/>
                <w:szCs w:val="18"/>
              </w:rPr>
            </w:pPr>
            <w:r w:rsidRPr="00D64272">
              <w:rPr>
                <w:rFonts w:cs="Times New Roman"/>
                <w:sz w:val="18"/>
                <w:szCs w:val="18"/>
              </w:rPr>
              <w:t xml:space="preserve">DON </w:t>
            </w:r>
            <w:r>
              <w:rPr>
                <w:rFonts w:cs="Times New Roman"/>
                <w:sz w:val="18"/>
                <w:szCs w:val="18"/>
              </w:rPr>
              <w:t>l</w:t>
            </w:r>
            <w:r w:rsidRPr="00D64272">
              <w:rPr>
                <w:rFonts w:cs="Times New Roman"/>
                <w:sz w:val="18"/>
                <w:szCs w:val="18"/>
              </w:rPr>
              <w:t xml:space="preserve">aboratory and/or </w:t>
            </w:r>
            <w:r>
              <w:rPr>
                <w:rFonts w:cs="Times New Roman"/>
                <w:sz w:val="18"/>
                <w:szCs w:val="18"/>
              </w:rPr>
              <w:t>t</w:t>
            </w:r>
            <w:r w:rsidRPr="00D64272">
              <w:rPr>
                <w:rFonts w:cs="Times New Roman"/>
                <w:sz w:val="18"/>
                <w:szCs w:val="18"/>
              </w:rPr>
              <w:t xml:space="preserve">echnical 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D64272">
              <w:rPr>
                <w:rFonts w:cs="Times New Roman"/>
                <w:sz w:val="18"/>
                <w:szCs w:val="18"/>
              </w:rPr>
              <w:t>ctivity</w:t>
            </w:r>
            <w:r>
              <w:rPr>
                <w:rFonts w:cs="Times New Roman"/>
                <w:sz w:val="18"/>
                <w:szCs w:val="18"/>
              </w:rPr>
              <w:t xml:space="preserve"> must be designated per SECNAVINST 5700.17A or by direct delegation from the CNR.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E80C7" w14:textId="77777777" w:rsidR="00A03DE2" w:rsidRPr="00D64272" w:rsidRDefault="00A03DE2" w:rsidP="00E7484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 be delegated to t</w:t>
            </w:r>
            <w:r w:rsidRPr="00D64272">
              <w:rPr>
                <w:rFonts w:cs="Times New Roman"/>
                <w:sz w:val="18"/>
                <w:szCs w:val="18"/>
              </w:rPr>
              <w:t xml:space="preserve">he </w:t>
            </w:r>
            <w:r>
              <w:rPr>
                <w:rFonts w:cs="Times New Roman"/>
                <w:sz w:val="18"/>
                <w:szCs w:val="18"/>
              </w:rPr>
              <w:t>he</w:t>
            </w:r>
            <w:r w:rsidRPr="00D64272">
              <w:rPr>
                <w:rFonts w:cs="Times New Roman"/>
                <w:sz w:val="18"/>
                <w:szCs w:val="18"/>
              </w:rPr>
              <w:t xml:space="preserve">ad of designated DON </w:t>
            </w:r>
            <w:r>
              <w:rPr>
                <w:rFonts w:cs="Times New Roman"/>
                <w:sz w:val="18"/>
                <w:szCs w:val="18"/>
              </w:rPr>
              <w:t>l</w:t>
            </w:r>
            <w:r w:rsidRPr="00D64272">
              <w:rPr>
                <w:rFonts w:cs="Times New Roman"/>
                <w:sz w:val="18"/>
                <w:szCs w:val="18"/>
              </w:rPr>
              <w:t xml:space="preserve">aboratory and/or </w:t>
            </w:r>
            <w:r>
              <w:rPr>
                <w:rFonts w:cs="Times New Roman"/>
                <w:sz w:val="18"/>
                <w:szCs w:val="18"/>
              </w:rPr>
              <w:t>t</w:t>
            </w:r>
            <w:r w:rsidRPr="00D64272">
              <w:rPr>
                <w:rFonts w:cs="Times New Roman"/>
                <w:sz w:val="18"/>
                <w:szCs w:val="18"/>
              </w:rPr>
              <w:t xml:space="preserve">echnical </w:t>
            </w:r>
            <w:r>
              <w:rPr>
                <w:rFonts w:cs="Times New Roman"/>
                <w:sz w:val="18"/>
                <w:szCs w:val="18"/>
              </w:rPr>
              <w:t>a</w:t>
            </w:r>
            <w:r w:rsidRPr="00D64272">
              <w:rPr>
                <w:rFonts w:cs="Times New Roman"/>
                <w:sz w:val="18"/>
                <w:szCs w:val="18"/>
              </w:rPr>
              <w:t>ctivity</w:t>
            </w:r>
          </w:p>
        </w:tc>
      </w:tr>
    </w:tbl>
    <w:p w14:paraId="5BF7C6E9" w14:textId="005633F4" w:rsidR="002A13AD" w:rsidRDefault="00A03DE2">
      <w:r>
        <w:rPr>
          <w:rFonts w:cs="Times New Roman"/>
          <w:b/>
        </w:rPr>
        <w:t>Original t</w:t>
      </w:r>
      <w:r w:rsidRPr="000F186C">
        <w:rPr>
          <w:rFonts w:cs="Times New Roman"/>
          <w:b/>
        </w:rPr>
        <w:t>able courtesy of Naval Undersea Warfare Center, Division Newport</w:t>
      </w:r>
      <w:r>
        <w:rPr>
          <w:rFonts w:cs="Times New Roman"/>
          <w:b/>
        </w:rPr>
        <w:t>, modified for this handbook</w:t>
      </w:r>
      <w:bookmarkStart w:id="3" w:name="_GoBack"/>
      <w:bookmarkEnd w:id="3"/>
    </w:p>
    <w:sectPr w:rsidR="002A13AD" w:rsidSect="00A03D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2DA1" w14:textId="77777777" w:rsidR="00200050" w:rsidRDefault="00200050" w:rsidP="00A03DE2">
      <w:r>
        <w:separator/>
      </w:r>
    </w:p>
  </w:endnote>
  <w:endnote w:type="continuationSeparator" w:id="0">
    <w:p w14:paraId="38CC66EA" w14:textId="77777777" w:rsidR="00200050" w:rsidRDefault="00200050" w:rsidP="00A0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580DF" w14:textId="77777777" w:rsidR="00200050" w:rsidRDefault="00200050" w:rsidP="00A03DE2">
      <w:r>
        <w:separator/>
      </w:r>
    </w:p>
  </w:footnote>
  <w:footnote w:type="continuationSeparator" w:id="0">
    <w:p w14:paraId="00E16A40" w14:textId="77777777" w:rsidR="00200050" w:rsidRDefault="00200050" w:rsidP="00A03DE2">
      <w:r>
        <w:continuationSeparator/>
      </w:r>
    </w:p>
  </w:footnote>
  <w:footnote w:id="1">
    <w:p w14:paraId="4D75E998" w14:textId="77777777" w:rsidR="00A03DE2" w:rsidRDefault="00A03DE2" w:rsidP="00A03DE2">
      <w:pPr>
        <w:pStyle w:val="FootnoteText"/>
      </w:pPr>
      <w:r>
        <w:rPr>
          <w:rStyle w:val="FootnoteReference"/>
        </w:rPr>
        <w:footnoteRef/>
      </w:r>
      <w:r>
        <w:t xml:space="preserve"> Software evaluations can be done through a bailment agreement or a Limited Purpose CRADA.  Consultation with local counsel is essential.</w:t>
      </w:r>
    </w:p>
  </w:footnote>
  <w:footnote w:id="2">
    <w:p w14:paraId="05395E45" w14:textId="77777777" w:rsidR="00A03DE2" w:rsidRDefault="00A03DE2" w:rsidP="00A03D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</w:rPr>
        <w:t xml:space="preserve">SECNAV 5700.17A </w:t>
      </w:r>
      <w:r w:rsidRPr="00AF2E12">
        <w:rPr>
          <w:snapToGrid w:val="0"/>
        </w:rPr>
        <w:t>is expected to be published by fiscal year 2018.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E2"/>
    <w:rsid w:val="00200050"/>
    <w:rsid w:val="0047501D"/>
    <w:rsid w:val="006079C7"/>
    <w:rsid w:val="00A03DE2"/>
    <w:rsid w:val="00B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F135"/>
  <w15:chartTrackingRefBased/>
  <w15:docId w15:val="{6DFDFC53-F44D-4706-BEC7-3E2AE58A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DE2"/>
  </w:style>
  <w:style w:type="paragraph" w:styleId="Heading1">
    <w:name w:val="heading 1"/>
    <w:basedOn w:val="Normal"/>
    <w:next w:val="Normal"/>
    <w:link w:val="Heading1Char"/>
    <w:qFormat/>
    <w:rsid w:val="00B642FC"/>
    <w:pPr>
      <w:keepNext/>
      <w:widowControl w:val="0"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  <w:outlineLvl w:val="1"/>
    </w:pPr>
    <w:rPr>
      <w:rFonts w:eastAsia="Times New Roman" w:cs="Times New Roman"/>
      <w:b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642FC"/>
    <w:pPr>
      <w:keepNext/>
      <w:widowControl w:val="0"/>
      <w:outlineLvl w:val="2"/>
    </w:pPr>
    <w:rPr>
      <w:rFonts w:ascii="Courier New" w:eastAsia="Times New Roman" w:hAnsi="Courier New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ind w:left="720" w:hanging="720"/>
      <w:outlineLvl w:val="3"/>
    </w:pPr>
    <w:rPr>
      <w:rFonts w:eastAsia="Times New Roman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642FC"/>
    <w:pPr>
      <w:keepNext/>
      <w:widowControl w:val="0"/>
      <w:spacing w:line="287" w:lineRule="auto"/>
      <w:jc w:val="center"/>
      <w:outlineLvl w:val="4"/>
    </w:pPr>
    <w:rPr>
      <w:rFonts w:eastAsia="Times New Roman" w:cs="Times New Roman"/>
      <w:b/>
      <w:snapToGrid w:val="0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B642FC"/>
    <w:pPr>
      <w:keepNext/>
      <w:widowControl w:val="0"/>
      <w:jc w:val="center"/>
      <w:outlineLvl w:val="5"/>
    </w:pPr>
    <w:rPr>
      <w:rFonts w:eastAsia="Times New Roman" w:cs="Times New Roman"/>
      <w:b/>
      <w:snapToGrid w:val="0"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B642FC"/>
    <w:pPr>
      <w:keepNext/>
      <w:widowControl w:val="0"/>
      <w:jc w:val="center"/>
      <w:outlineLvl w:val="6"/>
    </w:pPr>
    <w:rPr>
      <w:rFonts w:ascii="Courier" w:eastAsia="Times New Roman" w:hAnsi="Courier" w:cs="Times New Roman"/>
      <w:b/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B642FC"/>
    <w:pPr>
      <w:keepNext/>
      <w:widowControl w:val="0"/>
      <w:outlineLvl w:val="7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642FC"/>
    <w:pPr>
      <w:keepNext/>
      <w:widowControl w:val="0"/>
      <w:jc w:val="center"/>
      <w:outlineLvl w:val="8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642FC"/>
    <w:rPr>
      <w:rFonts w:ascii="Courier New" w:eastAsia="Times New Roman" w:hAnsi="Courier New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B642FC"/>
    <w:rPr>
      <w:rFonts w:eastAsia="Times New Roman" w:cs="Times New Roman"/>
      <w:b/>
      <w:snapToGrid w:val="0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B642FC"/>
    <w:rPr>
      <w:rFonts w:eastAsia="Times New Roman" w:cs="Times New Roman"/>
      <w:b/>
      <w:snapToGrid w:val="0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B642FC"/>
    <w:rPr>
      <w:rFonts w:ascii="Courier" w:eastAsia="Times New Roman" w:hAnsi="Courier" w:cs="Times New Roman"/>
      <w:b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2FC"/>
    <w:pPr>
      <w:tabs>
        <w:tab w:val="right" w:leader="dot" w:pos="9350"/>
      </w:tabs>
      <w:spacing w:before="360" w:after="120" w:line="276" w:lineRule="auto"/>
    </w:pPr>
    <w:rPr>
      <w:rFonts w:cs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2FC"/>
    <w:pPr>
      <w:tabs>
        <w:tab w:val="left" w:pos="1440"/>
        <w:tab w:val="right" w:leader="dot" w:pos="9346"/>
      </w:tabs>
      <w:spacing w:before="120" w:line="276" w:lineRule="auto"/>
    </w:pPr>
    <w:rPr>
      <w:rFonts w:cs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42FC"/>
    <w:pPr>
      <w:tabs>
        <w:tab w:val="left" w:pos="547"/>
        <w:tab w:val="right" w:leader="dot" w:pos="9350"/>
      </w:tabs>
      <w:spacing w:line="276" w:lineRule="auto"/>
    </w:pPr>
    <w:rPr>
      <w:rFonts w:cs="Times New Roman"/>
      <w:szCs w:val="20"/>
    </w:rPr>
  </w:style>
  <w:style w:type="paragraph" w:styleId="Title">
    <w:name w:val="Title"/>
    <w:basedOn w:val="Normal"/>
    <w:link w:val="TitleChar"/>
    <w:qFormat/>
    <w:rsid w:val="00B642F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642FC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B642FC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42FC"/>
    <w:rPr>
      <w:rFonts w:ascii="Times" w:eastAsia="Times New Roman" w:hAnsi="Times" w:cs="Times New Roman"/>
      <w:b/>
      <w:szCs w:val="20"/>
    </w:rPr>
  </w:style>
  <w:style w:type="character" w:styleId="Strong">
    <w:name w:val="Strong"/>
    <w:qFormat/>
    <w:rsid w:val="00B642FC"/>
    <w:rPr>
      <w:b/>
      <w:bCs/>
    </w:rPr>
  </w:style>
  <w:style w:type="character" w:styleId="Emphasis">
    <w:name w:val="Emphasis"/>
    <w:basedOn w:val="DefaultParagraphFont"/>
    <w:uiPriority w:val="20"/>
    <w:qFormat/>
    <w:rsid w:val="00B642FC"/>
    <w:rPr>
      <w:i/>
      <w:iCs/>
    </w:rPr>
  </w:style>
  <w:style w:type="paragraph" w:styleId="NoSpacing">
    <w:name w:val="No Spacing"/>
    <w:uiPriority w:val="1"/>
    <w:qFormat/>
    <w:rsid w:val="00B642FC"/>
    <w:rPr>
      <w:rFonts w:cs="Times New Roman"/>
      <w:szCs w:val="24"/>
    </w:rPr>
  </w:style>
  <w:style w:type="paragraph" w:styleId="ListParagraph">
    <w:name w:val="List Paragraph"/>
    <w:basedOn w:val="Normal"/>
    <w:uiPriority w:val="1"/>
    <w:qFormat/>
    <w:rsid w:val="00B642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42FC"/>
    <w:pPr>
      <w:keepLines/>
      <w:widowControl/>
      <w:outlineLvl w:val="9"/>
    </w:pPr>
    <w:rPr>
      <w:rFonts w:eastAsiaTheme="majorEastAsia" w:cstheme="majorBidi"/>
      <w:bCs/>
      <w:snapToGrid/>
      <w:sz w:val="24"/>
      <w:szCs w:val="28"/>
      <w:lang w:eastAsia="ja-JP"/>
    </w:rPr>
  </w:style>
  <w:style w:type="character" w:styleId="FootnoteReference">
    <w:name w:val="footnote reference"/>
    <w:semiHidden/>
    <w:rsid w:val="00A03DE2"/>
  </w:style>
  <w:style w:type="paragraph" w:styleId="FootnoteText">
    <w:name w:val="footnote text"/>
    <w:basedOn w:val="Normal"/>
    <w:link w:val="FootnoteTextChar"/>
    <w:semiHidden/>
    <w:rsid w:val="00A03DE2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3DE2"/>
    <w:rPr>
      <w:rFonts w:eastAsia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03DE2"/>
    <w:pPr>
      <w:widowControl w:val="0"/>
      <w:autoSpaceDE w:val="0"/>
      <w:autoSpaceDN w:val="0"/>
      <w:ind w:left="103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Coeby</dc:creator>
  <cp:keywords/>
  <dc:description/>
  <cp:lastModifiedBy>Regina Coeby</cp:lastModifiedBy>
  <cp:revision>1</cp:revision>
  <dcterms:created xsi:type="dcterms:W3CDTF">2018-09-28T12:53:00Z</dcterms:created>
  <dcterms:modified xsi:type="dcterms:W3CDTF">2018-09-28T12:56:00Z</dcterms:modified>
</cp:coreProperties>
</file>